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D-6546/2014 vom 26. November 2014</w:t>
      </w:r>
    </w:p>
    <w:p>
      <w:r>
        <w:t>Bundesverwaltungsgericht, 2014-11-26, FR</w:t>
      </w:r>
    </w:p>
    <w:p>
      <w:r>
        <w:rPr>
          <w:b/>
        </w:rPr>
        <w:t xml:space="preserve">Quelle: </w:t>
      </w:r>
      <w:r>
        <w:t>https://mcp.opencaselaw.ch/entscheid/bvger_D-6546_2014</w:t>
      </w:r>
    </w:p>
    <w:p>
      <w:r>
        <w:t>FR: TAF D-6546/2014 du 26 novembre 2014</w:t>
      </w:r>
    </w:p>
    <w:p>
      <w:r>
        <w:t>IT: TAF D-6546/2014 del 26 novembre 2014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de l'ODM du 30 octobre 2014 est annulée.</w:t>
      </w:r>
    </w:p>
    <w:p>
      <w:r>
        <w:rPr>
          <w:b/>
        </w:rPr>
        <w:t>E. 3</w:t>
      </w:r>
    </w:p>
    <w:p>
      <w:r>
        <w:t>Le dossier de la cause est renvoyé à l'ODM pour qu'il examine la demande des recourants en tant que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aux recourants,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