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D-6541/2009 vom 22. Februar 2011</w:t>
      </w:r>
    </w:p>
    <w:p>
      <w:r>
        <w:t>Bundesverwaltungsgericht, 2011-02-22, DE</w:t>
      </w:r>
    </w:p>
    <w:p>
      <w:r>
        <w:rPr>
          <w:b/>
        </w:rPr>
        <w:t xml:space="preserve">Quelle: </w:t>
      </w:r>
      <w:r>
        <w:t>https://mcp.opencaselaw.ch/entscheid/bvger_D-6541_2009</w:t>
      </w:r>
    </w:p>
    <w:p>
      <w:r>
        <w:t>FR: TAF D-6541/2009 du 22 février 2011</w:t>
      </w:r>
    </w:p>
    <w:p>
      <w:r>
        <w:t>IT: TAF D-6541/2009 del 22 febbraio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des Verwaltungsgerichtsgesetzes vom 17. Juni 2005 (VGG, SR 173.32) beurteilt das Bundesverwaltungsgericht Beschwerden ge­gen Verfügungen nach Art. 5 des Bundesgesetzes vom 20. Dezember 1968 über das Verwaltungsverfahren (VwVG, SR 172.021). Das BFM ge­hört zu den Behörden nach Art. 33 VGG und ist daher eine Vorinstanz des Bundesverwaltungsgerichts. Eine das Sachgebiet betreffende Aus­nahme im Sinne von Art. 32 VGG liegt nicht vor. Das Bundesverwaltungs­ge­richt ist daher zuständig für die Beurteilung der vorlie­genden Beschwerde und entscheidet auf dem Gebiet des Asyls end­gültig (Art. 105 des Asylgesetzes vom 26. Juni 1998 [AsylG, SR 142.31]; Art. 83 Bst. d Ziff. 1 des Bundesgerichtsgesetzes vom 17. Juni 2005 [BGG, SR 173.110]).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eingereicht. Der Be­schwer­de­führer hat am Verfahren vor der Vorinstanz teilgenommen, ist durch die angefochtene Verfügung besonders berührt und hat ein schutz­würdiges Interesse an deren Aufhebung beziehungsweise Änderung. Er ist daher zur Einreichung der Beschwerde legitimiert (Art. 105 und Art. 108 Abs. 1 AsylG, Art. 48 Abs. 1 sowie Art. 52 VwVG). Auf die Be­schwerde ist einzutreten.</w:t>
      </w:r>
    </w:p>
    <w:p>
      <w:r>
        <w:rPr>
          <w:b/>
        </w:rPr>
        <w:t>E. 2</w:t>
      </w:r>
    </w:p>
    <w:p>
      <w:r>
        <w:t>Mit Beschwerde kann die Verletzung von Bundesrecht, die unrichtige oder unvollständige Feststellung des rechtserheblichen Sachverhalts und die Unangemessenheit gerügt werden (Art. 106 Abs. 1 AsylG).</w:t>
      </w:r>
    </w:p>
    <w:p>
      <w:r>
        <w:rPr>
          <w:b/>
        </w:rPr>
        <w:t>E. 3.1</w:t>
      </w:r>
    </w:p>
    <w:p>
      <w:r>
        <w:t>Gemäss Art. 2 Abs. 1 AsylG gewährt die Schweiz Flüchtlingen grund­sätzlich Asyl. Flüchtlinge sind Personen, die in ihrem Heimatstaat oder im Land, in dem sie zuletzt wohnten, wegen ihrer Rasse, Religion, Nationali­tät, Zugehörigkeit zu einer bestimmten sozialen Gruppe oder wegen ihrer po­litischen Anschauungen ernsthaften Nachteilen ausgesetzt sind oder be­gründete Furcht haben, solchen Nachteilen ausgesetzt zu werden. Als ernsthafte Nachteile gelten namentlich die Gefährdung des Leibes, des Le­bens oder der Freiheit sowie Massnahmen, die einen unerträglichen psy­chischen Druck bewirken (Art. 3 AsylG).</w:t>
      </w:r>
    </w:p>
    <w:p>
      <w:r>
        <w:rPr>
          <w:b/>
        </w:rPr>
        <w:t>E. 3.2</w:t>
      </w:r>
    </w:p>
    <w:p>
      <w:r>
        <w:t>Wer um Asyl nachsucht, muss die Flüchtlingseigenschaft nachweisen oder zumindest glaubhaft machen. Diese ist glaubhaft gemacht, wenn die Behörde ihr Vorhandensein mit überwiegender Wahrscheinlichkeit für gege­ben hält. Unglaubhaft sind insbesondere Vorbringen, die in wesentli­chen Punkten zu wenig begründet oder in sich widersprüchlich sind, den Tatsachen nicht entsprechen oder massgeblich auf gefälschte oder ver­fälschte Beweismittel abgestützt werden (Art. 7 AsylG).</w:t>
      </w:r>
    </w:p>
    <w:p>
      <w:r>
        <w:rPr>
          <w:b/>
        </w:rPr>
        <w:t>E. 4</w:t>
      </w:r>
    </w:p>
    <w:p>
      <w:r>
        <w:t>Der Beschwerdeführer macht ethnisch motivierte Übergriffe von Sei­ten privater Dritter geltend. Aufgrund der Akten erweisen sich indes die vo­r­in­stanz­lichen Erwägungen, wonach die Asylrelevanz der geltend ge­mach­ten Verfolgungsvor­bringen in Anbetracht des Schutzwillens und auch der weitgehenden Schutzfähigkeit der in Kosovo tätigen nationalen und internationalen Sicherheitsbehörden zu verneinen sei, als zu­tref­fend (vgl. zur allgemeinen Situation der Minderheiten in Kosovo BVGE 2007/10). Das BFM erwähnt in diesem Zusammenhang ferner zu Recht, dass die angeblichen Angriffe auf das Haus des Beschwerdeführers im Jahre 2008 im Rahmen der Botschaftsabklärungen nicht bestätigt wur­den. Der Einwand des Beschwerdeführers, die von der Botschaft kontaktier­ten Personen hätten sich nicht getraut, diese Übergriffe zu mel­den, ist wenig überzeugend, da sie ja gewillt waren, weitere Vorfälle wie die­jenigen des Jahres 2004 zu bestätigen. Im Weiteren sollen der Be­schwerdeführer respektive seine Angehörigen die Angriffe des Jahres 2004 den Behörden nicht gemeldet haben (A 29/2 S. 2). Die in diesem Zu­sammenhang geäusserte Angst vor Repressalien vermag insofern nicht zu überzeugen, als ein allenfalls nicht adäquates Reagieren der loka­len Sicherheitskräfte oder deren Passivität bei einer vorgesetzten In­stanz hätte gerügt werden können. Die geltend gemachte ernsthafte Gefähr­dung vor Ort - auch wegen mangelnder Schutzgewährung - er­scheint mithin als nicht glaubhaft, weshalb begründete Furcht vor ernsthaf­ten Nachteilen zu verneinen ist. An dieser Einschätzung vermögen die eingereichten Beweismittel wie namentlich das Bestätigungsschreiben der [...] vom 28. Dezember 2008, welches eher vage verfasst wurde, mangels hinreichenden Beweiswertes offensichtlich nichts zu ändern.</w:t>
      </w:r>
    </w:p>
    <w:p>
      <w:r>
        <w:rPr>
          <w:b/>
        </w:rPr>
        <w:t>E. 5</w:t>
      </w:r>
    </w:p>
    <w:p>
      <w:r>
        <w:t>Dem Beschwerdeführer ist es demnach nicht gelungen, nachzu­wei­sen oder glaub­haft zu machen, dass er in Kosovo aktuell be­grün­de­te Furcht vor ernsthaf­ten Nachteilen im Sinne von Art. 3 Abs. 2 AsylG ha­ben muss. Die diesbezüglichen Erwägungen des BFM sind ent­gegen den Beschwerdevorbringen nicht zu be­an­stan­den. Es er­übrigt sich, auf weitere Beschwerdevor­bringen oder die bei­ge­brachten Beweismittel detaillierter einzu­gehen, weil sie am Er­geb­nis nichts än­dern können. Das BFM hat das Asylgesuch zu Recht abge­lehnt.</w:t>
      </w:r>
    </w:p>
    <w:p>
      <w:r>
        <w:rPr>
          <w:b/>
        </w:rPr>
        <w:t>E. 6.1</w:t>
      </w:r>
    </w:p>
    <w:p>
      <w:r>
        <w:t>Lehnt das Bundesamt das Asylgesuch ab oder tritt es darauf nicht ein, so verfügt es in der Regel die Wegweisung aus der Schweiz und ord­net den Vollzug an; es berücksichtigt dabei den Grundsatz der Einheit der Familie (Art. 44 Abs. 1 AsylG).</w:t>
      </w:r>
    </w:p>
    <w:p>
      <w:r>
        <w:rPr>
          <w:b/>
        </w:rPr>
        <w:t>E. 6.2</w:t>
      </w:r>
    </w:p>
    <w:p>
      <w:r>
        <w:t>Der Beschwerdeführer verfügt weder über eine ausländerrechtliche Auf­enthaltsbewilligung noch über einen Anspruch auf Erteilung einer sol­chen. Die Wegweisung wurde demnach zu Recht angeordnet (Art. 44 Abs. 1 AsylG)</w:t>
      </w:r>
    </w:p>
    <w:p>
      <w:r>
        <w:rPr>
          <w:b/>
        </w:rPr>
        <w:t>E. 7.1</w:t>
      </w:r>
    </w:p>
    <w:p>
      <w:r>
        <w:t>Ist der Vollzug der Wegweisung nicht zulässig, nicht zumutbar oder nicht möglich, so regelt das Bundesamt das Anwesenheitsverhältnis nach den gesetzlichen Bestimmungen über die vorläufige Aufnahme von Auslän­dern (Art. 44 Abs. 2 AsylG; Art. 83 Abs. 1 des Bundesgesetzes vom 16. Dezember 2005 über die Ausländerinnen und Ausländer [AuG, SR 142.20]). Bezüglich der Geltendmachung von Wegweisungshindernissen gilt ge­mäss ständiger Praxis des Bundesverwaltungsgerichts und seiner Vorgän­gerorganisation ARK der gleiche Beweisstandard wie bei der Flücht­lingseigenschaft, das heisst, sie sind zu beweisen, wenn der strikte Beweis möglich ist, und andernfalls wenigstens glaubhaft zu machen (vgl. Walter Stöckli, Asyl, in: Uebersax/Rudin/Hugi Yar/Geiser [Hrsg.], Auslän­derrecht, 2. Aufl., Basel 2009, Rz. 11.148).</w:t>
      </w:r>
    </w:p>
    <w:p>
      <w:r>
        <w:rPr>
          <w:b/>
        </w:rPr>
        <w:t>E. 7.2</w:t>
      </w:r>
    </w:p>
    <w:p>
      <w:r>
        <w:t>Der Vollzug ist nicht zulässig, wenn völkerrechtliche Verpflichtungen der Schweiz einer Weiterreise der Ausländerin oder des Ausländers in den Heimat-, Herkunfts- oder einen Drittstaat entgegenstehen (Art. 83 Abs. 3 AuG). So darf keine Person in irgendeiner Form zur Ausreise in ein Land gezwun­gen werden, in dem ihr Leib, ihr Leben oder ihre Freiheit aus ei­nem Grund nach Art. 3 Abs. 1 AsylG gefährdet ist oder in dem sie Gefahr läuft, zur Ausreise in ein solches Land gezwungen zu werden (Art. 5 Abs. 1 AsylG; vgl. ebenso Art. 33 Abs. 1 des Abkommens vom 28. Juli 1951 über die Rechtsstellung der Flüchtlinge [FK, SR 0.142.30]). Gemäss Art. 25 Abs. 3 der Bundesverfassung der Schweizerischen Eidge­nossenschaft vom 18. April 1999 (BV, SR 101), Art. 3 des Überein­kom­mens vom 10. Dezember 1984 gegen Folter und andere grausame, un­menschliche oder erniedrigende Behandlung oder Strafe (FoK, SR 0.105) und der Praxis zu Art. 3 der Konvention vom 4. November 1950 zum Schutz der Menschenrechte und Grundfreiheiten (EMRK, SR 0.101) darf niemand der Folter oder unmenschlicher oder erniedrigen­der Strafe oder Behandlung unterworfen werden.</w:t>
      </w:r>
    </w:p>
    <w:p>
      <w:r>
        <w:rPr>
          <w:b/>
        </w:rPr>
        <w:t>E. 7.3</w:t>
      </w:r>
    </w:p>
    <w:p>
      <w:r>
        <w:t>Die Vorinstanz wies in ihrer angefochtenen Verfügung zutreffend dar­auf hin, dass das Prinzip des flüchtlingsrechtlichen Non-Refoulements nur Personen schützt, die die Flüchtlingseigenschaft erfüllen. Da es dem Be­schwerdeführer nicht gelungen ist, eine asylrechtlich erhebliche Gefähr­dung nachzuweisen oder glaubhaft zu machen, kann der in Art. 5 AsylG verankerte Grundsatz der Nichtrückschiebung im vorliegenden Verfah­ren keine Anwendung finden. Eine Rückkehr des Be­schwerdeführers nach Kosovo ist demnach unter dem Aspekt von Art. 5 AsylG rechtmässig. Sodann ergeben sich weder aus den Aussagen des Beschwerdeführers noch aus den Akten Anhaltspunkte dafür, dass er für den Fall einer Aus­schaffung in den Heimatstaat dort mit beachtlicher Wahrscheinlichkeit ei­ner nach Art. 3 EMRK oder Art. 1 FoK verbotenen Strafe oder Behand­lung ausgesetzt wäre. Gemäss Praxis des Europäischen Gerichtshofes für Menschenrechte (EGMR) sowie jener des UN-Anti-Folterausschusses müsste der Beschwerdeführer eine konkrete Gefahr ("real risk") nachwei­sen oder glaubhaft machen, dass ihm im Fall einer Rückschiebung Folter oder unmenschliche Behandlung drohen würde (vgl. EGMR [Grosse Kam­mer], Saadi gegen Italien, Urteil vom 28. Februar 2008, Beschwerde Nr. 37201/06, §§ 124 - 127, mit weiteren Hinweisen). Auch die allge­meine Menschenrechtssituation in Kosovo lässt den Wegweisungsvollzug zum heutigen Zeitpunkt klarerweise nicht als unzulässig erscheinen. Nach dem Gesagten ist der Vollzug der Wegweisung sowohl im Sinne der asyl- als auch der völkerrechtlichen Bestimmungen zulässig.</w:t>
      </w:r>
    </w:p>
    <w:p>
      <w:r>
        <w:rPr>
          <w:b/>
        </w:rPr>
        <w:t>E. 7.4</w:t>
      </w:r>
    </w:p>
    <w:p>
      <w:r>
        <w:t>Gemäss Art. 83 Abs. 4 AuG kann der Vollzug für Ausländerinnen und Ausländer unzumutbar sein, wenn sie im Heimat- oder Herkunftsstaat auf Grund von Situationen wie Krieg, Bürgerkrieg, allgemeiner Gewalt und medi­zinischer Notlage konkret gefährdet sind. Wird eine konkrete Gefähr­dung festgestellt, ist - unter Vorbehalt von Art. 83 Abs. 7 AuG - die vorläu­fige Aufnahme zu gewähren.</w:t>
      </w:r>
    </w:p>
    <w:p>
      <w:r>
        <w:rPr>
          <w:b/>
        </w:rPr>
        <w:t>E. 7.5</w:t>
      </w:r>
    </w:p>
    <w:p>
      <w:r>
        <w:t>Betreffend die Frage der Zumutbarkeit des Wegweisungsvollzugs albanischsprachiger Roma, Ashkali und Ägypter aus Ko­sovo im Allgemeinen ist wiederum auf die geltende Praxis zu verweisen (vgl. Bst. D. vorstehend zu BVGE 2007/10 E. 5.3). Diese Beurteilung ist auch nach der Unab­hängigkeit von Kosovo noch gültig (vgl. auch die Erwägungen im vorinstanzli­chen Entscheid auf S. 5 oben). Die Vorinstanz hat eine solche Einzelfallabklärung nunmehr veranlasst. Das Ergebnis lässt darauf schliessen, dass der Beschwerdeführer albanischer Muttersprache nach X._______ zu seinen Angehörigen zurückkehren kann und dort nicht rele­vant gefährdet ist. Auch eine Wohngelegenheit ist vorhanden. Vor der Aus­reise arbeitete er in der Metallbranche. Sein Vater und einer seiner Brü­der verfügten im Zeitpunkt der Abklärungen über eine Anstellung. Ei­ner seiner Brüder wohnt in einem separaten Haus. Aus den Akten erge­ben sich ferner keine Anhaltspunkte für behandlungsbedürftige Krankhei­ten des noch jungen Beschwerdeführers (vgl. dazu und zu weiteren Einzel­heiten A 29/2 und S. 5 des vorinstanzlichen Entscheids). Entspre­chend ist nicht davon auszugehen, dass er im Herkunftsort in eine existenz­gefährdende Situation geraten könnte. Nach dem Gesagten er­weist sich der Vollzug der Wegweisung auch als zumutbar.</w:t>
      </w:r>
    </w:p>
    <w:p>
      <w:r>
        <w:rPr>
          <w:b/>
        </w:rPr>
        <w:t>E. 7.6</w:t>
      </w:r>
    </w:p>
    <w:p>
      <w:r>
        <w:t>Schliesslich obliegt es dem Beschwerdeführer, sich bei der zuständi­gen Vertretung des Heimatstaates die für eine Rückkehr notwendigen Rei­sedokumente zu beschaffen (vgl. Art. 8 Abs. 4 AsylG und dazu auch BVGE 2008/34 E. 12 S. 513 - 515), weshalb der Vollzug der Wegweisung auch als möglich zu bezeichnen ist (Art. 83 Abs. 2 AuG).</w:t>
      </w:r>
    </w:p>
    <w:p>
      <w:r>
        <w:rPr>
          <w:b/>
        </w:rPr>
        <w:t>E. 7.7</w:t>
      </w:r>
    </w:p>
    <w:p>
      <w:r>
        <w:t>Zusammenfassend hat die Vorinstanz den Wegweisungsvollzug zu Recht als zulässig, zumutbar und möglich erachtet. Nach dem Gesagten fällt eine Anordnung der vorläufigen Aufnahme ausser Betracht (Art. 83 Abs. 1 - 4 AuG).</w:t>
      </w:r>
    </w:p>
    <w:p>
      <w:r>
        <w:rPr>
          <w:b/>
        </w:rPr>
        <w:t>E. 8</w:t>
      </w:r>
    </w:p>
    <w:p>
      <w:r>
        <w:t>Aus diesen Erwägungen ergibt sich, dass die angefochtene Verfügung Bun­desrecht nicht verletzt, den rechtserheblichen Sachverhalt richtig und vollständig feststellt und angemessen ist (Art. 106 AsylG). Die Be­schwer­de ist nach dem Gesagten abzuweisen.</w:t>
      </w:r>
    </w:p>
    <w:p>
      <w:r>
        <w:rPr>
          <w:b/>
        </w:rPr>
        <w:t>E. 9</w:t>
      </w:r>
    </w:p>
    <w:p>
      <w:r>
        <w:t>Bei diesem Ausgang des Verfahrens wären die Kosten dem Beschwer­de­führer aufzuerlegen (Art. 63 Abs. 1 VwVG). In Anbetracht der am 27. Oktober 2009 erfolgten Gutheissung des Gesuchs im Sinne von Art. 65 Abs. 1 VwVG erfolgt indes keine Kostenauflage.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