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D-652/2013 vom 18. Juli 2013</w:t>
      </w:r>
    </w:p>
    <w:p>
      <w:r>
        <w:t>Bundesverwaltungsgericht, 2013-07-18, DE</w:t>
      </w:r>
    </w:p>
    <w:p>
      <w:r>
        <w:rPr>
          <w:b/>
        </w:rPr>
        <w:t xml:space="preserve">Quelle: </w:t>
      </w:r>
      <w:r>
        <w:t>https://mcp.opencaselaw.ch/entscheid/bvger_D-652_2013</w:t>
      </w:r>
    </w:p>
    <w:p>
      <w:r>
        <w:t>FR: TAF D-652/2013 du 18 juillet 2013</w:t>
      </w:r>
    </w:p>
    <w:p>
      <w:r>
        <w:t>IT: TAF D-652/2013 del 18 luglio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BGE 136 II 177 E. 2.1 m.w.H.).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 2.2 Da die Vorinstanz den Anspruch des Beschwerdeführers auf Behandlung seines Wiedererwägungsgesuchs nicht in Abrede stellte und darauf eintrat, hat das Bundesverwaltungsgericht zu prüfen, ob das BFM das Gesuch zu Recht abwies.</w:t>
      </w:r>
    </w:p>
    <w:p>
      <w:r>
        <w:rPr>
          <w:b/>
        </w:rPr>
        <w:t>E. 3.1</w:t>
      </w:r>
    </w:p>
    <w:p>
      <w:r>
        <w:t>Die Vorinstanz führte zur Begründung des ablehnenden Wiedererwägungsentscheides im Wesentlichen an, medizinische Aspekte führten nur dann zur Unzumutbarkeit des Wegweisungsvollzugs, wenn eine notwendige medizinische Behandlung im Heimatland nicht zur Verfügung stehe und sich daraus eine konkrete Gefährdung für die betroffene Person ergebe. Dabei müsse gemäss Rechtsprechung eine allgemeine und dringliche medizinische Behandlung, welche zur Gewährleistung einer menschenrechtswürdigen Existenz absolut notwendig sei, verfügbar sein. Demgegenüber liege noch keine Unzumutbarkeit vor, wenn im Heimatstaat eine dem schweizerischen Standard nicht entsprechende medizinische Behandlung zur Verfügung stehe. Vorliegend bestehe jedoch auch im Heimatland des Beschwerdeführers eine adäquate Behandlung, stünden doch dort medizinische Einrichtungen für Menschen mit (Nennung Erkrankungen) in ausreichendem Masse zur Verfügung. Die im eingereichten Arztbericht festgehaltenen Symptome ordne der Arzt international anerkannten Klassifikationssystemen zu, die auch in der Türkei gelten würden. Die Behandlungskonzepte für (Nennung Erkrankungen) seien auf die erwähnten Klassifikationen abgestellt und würden den üblichen Standards entsprechen, auch wenn das allgemeine Niveau im Gesundheitswesen der Türkei nicht demjenigen von Westeuropa und der Schweiz entsprechen möge. Dies sei aber praxisgemäss kein Grund, die Behandlung notwendigerweise in der Schweiz durchführen zu lassen. Sodann könne suizidalen Gedanken beim Vollzug der Wegweisung zuverlässig mit entsprechenden Medikamenten beigekommen werden, womit auch die Reisefähigkeit erstellt werden könne. Unter diesen Umständen sei die Zumutbarkeit des Wegweisungsvollzugs zu bejahen.</w:t>
      </w:r>
    </w:p>
    <w:p>
      <w:r>
        <w:rPr>
          <w:b/>
        </w:rPr>
        <w:t>E. 3.2</w:t>
      </w:r>
    </w:p>
    <w:p>
      <w:r>
        <w:t>In seiner Beschwerdeschrift rügte der Beschwerdeführer eine Verletzung des rechtlichen Gehörs (inklusive der Begründungspflicht), der Pflicht zur vollständigen und richtigen Abklärung des rechtserheblichen Sachverhalts sowie weiterer Bestimmungen, so insbesondere von Art. 3 EMRK, Art. 83 Abs. 3 und 4 des Bundesgesetzes vom 16. Dezember 2005 über die Ausländerinnen und Ausländer (AuG, SR 142.20), das in Art. 9 BV festgehaltene Willkürverbot sowie Art. 12 und 19 VwVG in Verbindung mit Art. 60 Abs. 2 des Bundesgesetzes vom 4. Dezember 1947 über den Bundeszivilprozess (BZP, SR 273). Nach rechtskräftiger Ablehnung des Asylgesuchs habe sich sein Gesundheitszustand unerwartet und massiv verschlechtert. Im Wiedererwägungsgesuch sei mit Verweis auf das dort eingereichte Arztzeugnis ausdrücklich beantragt worden, es sei der Sachverhalt betreffend seine gesundheitlichen Probleme innerhalb der nächsten Monate vollständig abzuklären. In der angefochtenen Verfügung habe die Vorinstanz die entsprechenden Anträge weder erwähnt noch behandelt. Zudem habe das BFM den Sachverhalt nicht weiter abgeklärt und überdies dem Arztbericht vom 19. Dezember 2012 widersprechende Folgerungen gezogen. Betreffend die Rüge der Verletzung des rechtlichen Gehörs sei festzuhalten, dass die Vorinstanz wesentliche Inhalte des erwähnten Arztberichts nicht genannt habe. So habe sie beispielsweise weder erwähnt noch gewürdigt, dass er derzeit nicht reisefähig sei. Weiter habe die Vorinstanz nicht ausgeführt, dass eine engmaschige medikamentöse und therapeutische Behandlung notwendig sei und über mehrere Monate fortgesetzt werden müsse. In der angefochtenen Verfügung habe das BFM diese zwei wesentlichen Elemente unterschlagen und habe lediglich angeführt, dass er Medikamente erhalte und in Behandlung sei. Damit habe es sich nicht mit der klaren Aussage des Arztberichts befasst, wonach diese Behandlung zwingend notwendig sei. Ausserdem habe die Vorinstanz nicht erwähnt, dass er seine Suizidgedanken manchmal nur mit Mühe kontrollieren könne. Die erwähnte schwerwiegende Verletzung des rechtlichen Gehörs müsse zwingend die Aufhebung der angefochtenen Verfügung und die Rückweisung zur Neubeurteilung an das BFM zur Folge haben. Betreffend die Rüge der Verletzung der Pflicht zur vollständigen und richtigen Abklärung des rechtserheblichen Sachverhalts sei festzuhalten, dass im Wiedererwägungsgesuch beantragt worden sei, in mehreren Monaten einen aktuellen Arztbericht beim erwähnten Facharzt einzuholen beziehungsweise eine Frist zur Einreichung eines solchen Berichts anzusetzen. Aus dem ärztlichen Bericht vom 19. Dezember 2012 sei offensichtlich, dass weitere Abklärungen nötig seien (Notwendigkeit der weiteren Behandlung; Reisefähigkeit verneint). Somit könnten erst die nächsten Monate Aufschluss über die Schwere der Erkrankung sowie über die Behandelbarkeit derselben geben. Die Vorinstanz habe sich mit diesen Anträgen betreffend die Abklärung des Sachverhalts mit keinem Wort befasst. Falls die angefochtene Verfügung nicht aufgehoben und die Sache nicht dem BFM zur Neubeurteilung zurückgewiesen werden sollte, müsste der rechtserhebliche Sachverhalt vom Bundesverwaltungsgericht abgeklärt werden. Es sei offensichtlich, dass seine gesundheitliche Situation nach mehreren Monaten engmaschiger Behandlung beurteilt werden müsse. Ein entsprechender ärztlicher Bericht liege nicht vor und müsse eingeholt werden. Es werde ausdrücklich die Ansetzung einer angemessenen Frist zur Einreichung eines ausführlichen Arztberichts beantragt. Derzeit liege seit dem 28. Januar 2013 ein Arztbericht mit ergänzenden Ausführungen betreffend die Frage der Behandelbarkeit seiner schweren Erkrankung in der Türkei vor. Daraus sei ersichtlich, dass bei ihm (Nennung Diagnose) vorliege. Weiter sei es wissenschaftlich belegt, dass die Behandlung eines an einer (Nennung Erkrankung) leidenden Patienten nicht an einem Ort durchgeführt werden könne, an dem sich der Patient dauernd oder fortgesetzt bedroht fühle. Er fühle sich in der Türkei einer massiven Bedrohung ausgesetzt, wobei es aus medizinischer Sicht irrelevant sei, ob diese objektiv vorhanden sei oder aufgrund der persönlichen Biografie subjektiv erlebt werde. Eine Wegweisung in die Türkei würde sein Leben im höchsten Masse gefährden und sei aus medizinischen Gründen nicht verantwortbar. Für den Fall, dass keine Rückweisung an das BFM und keine weiteren Abklärungen des Sachverhalts geschehen sollten, wäre gestützt auf die beiden vorliegenden Arztberichte zwingend die Unzulässigkeit des Wegweisungsvollzugs festzustellen. Eine Rückkehr stelle eine drohende unmenschliche Behandlung im Sinne von Art. 3 EMRK dar. Sollte nicht die Unzulässigkeit eines Wegweisungsvollzugs erkannt werden, so sei aufgrund seiner Erkrankung die Unzumutbarkeit des Wegweisungsvollzugs festzustellen. Gemäss den erwähnten Arztberichten stehe fest, dass seine schwerwiegende Erkrankung in der Türkei nicht erfolgreich behandelt werden könne. Die Behandlungsprognosen seien daher sehr schlecht und es bestehe ein hohes Risiko von Suizidhandlungen. Zudem wäre es ihm nach seiner langjährigen Auslandabwesenheit ohnehin nicht möglich, sich den erforderlichen Zugang zur notwendigen medizinischen Versorgung in der Türkei zu verschaffen. Er habe sich innerhalb der letzten (...) Jahre nur während insgesamt (...) Jahren in der Türkei aufgehalten und verfüge über (...) Jahre nach seiner letzten Ausreise aus der Heimat dort über kein tragfähiges Beziehungsnetz mehr und könne sich unmöglich als (...) kranker Mensch eine neue Existenz aufbauen und sich Zugang zu medizinischer Versorgung sichern. Ausserdem sei er aktuell nicht reisefähig. 4.1 Der Beschwerdeführer bringt in seiner Rechtsmitteleingabe unter anderem verschiedene Verletzungen formellen Rechts vor. Konkret habe die Vorinstanz die Begründungspflicht und mithin das rechtliche Gehör sowie die Pflicht zur vollständigen und richtigen Abklärung des rechtserheblichen Sachverhalts verletzt.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EMARK 1995 Nr. 23 E. 5a S. 222). Vorliegend ging die Vorinstanz aufgrund der Parteiauskünfte und des vom Beschwerdeführer eingereichten Beweismittels (Art. 12 Bst. c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4.1.2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So äusserte sich das BFM in seinem Entscheid - entgegen der in der Beschwerdeschrift vertretenen Ansicht - in expliziter Weise zum Umstand, dass der Beschwerdeführer einen (Nennung Beweismittel) einreichte, führte die darin enthaltene Diagnose sowie die derzeitigen Behandlungsmassnahmen auf, gab dabei in seiner Begründung an, dass im Heimatland des Beschwerdeführers adäquate Behandlungsmöglichkeiten bestünden, und nahm explizit auch auf die angeführten suizidalen Gedanken und die Frage der Reisefähigkeit Bezug und würdigte diese dementsprechend. Damit äusserte sich das BFM in seiner Begründung, wenn auch nur implizit, ebenso zur Notwendigkeit einer Behandlung des Beschwerdeführers. Zudem beruht der vorinstanzliche Entscheid auf einer laufenden Überprüfung und Einschätzung der aktuellen Situation in der Türkei, also auch hinsichtlich der dort bestehenden medizinischen Strukturen und Behandlungsmöglichkeiten. Weiter ist bezüglich der gerügten Verletzung der Abklärungs- und Begründungspflicht anzuführen, dass die Vorinstanz in Beachtung des Grundsatzes des rechtlichen Gehörs (Art. 29 Abs. 2 BV, Art. 29 VwVG, Art. 32 Abs. 1 VwVG) die Vorbringen des Beschwerdeführers - soweit die Zumutbarkeit des Wegweisungsvollzugs betreffend -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Zumutbarkeit des Wegweisungsvollzugs zu bejahen sei, weshalb weitergehende Abklärungen als nicht nötig erachtet wurden. Zur Rüge der Verletzung der Pflicht zur vollständigen und richtigen Abklärung des rechtserheblichen Sachverhalts, wonach die Vorinstanz die im Wiedererwägungsgesuch gestellten Anträge betreffend die Notwendigkeit von weiteren Abklärungen zu seinem Gesundheitszustand weder erwähnt noch behandelt habe,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André Moser/Michael Beusch/Lorenz Kneubühler, Prozessieren vor dem Bundesverwaltungsgericht, Basel 2008, S. 165 Rz. 3.144). Der Beschwerdeführer reichte mit der Einreichung seines Wiedererwägungsgesuchs auch einen (Nennung Beweismittel) ein, aus dem eine ärztliche Diagnose, die vom Beschwerdeführer benötigten medizinischen Massnahmen und die darauf abgestützte aktuelle ärztliche Behandlung ersichtlich sind. Die Vorinstanz berücksichtigte den entsprechenden Bericht im angefochtenen Entscheid und würdigte ihn. Der Verfügung sind denn auch keine Feststellungen zu entnehmen, die angesichts der dargelegten Diagnose und Therapiemassnahmen den Schluss zuliessen, es seien vor einem Entscheid der Vorinstanz zwingend noch weitergehende medizinische Abklärungen vonnöten. Zudem lagen dem BFM im Zeitpunkt seines Wiedererwägungsentscheids schon früher eingereichte ärztliche Zeugnisse und Berichte vor, die sich zum (...) Gesundheitszustand des Beschwerdeführers äussern und die dieser mit seinen Eingaben vom 6. August 2012 und 7. Dezember 2012 ins Recht legte (vgl. auch Bstn. B.b und C. oben). Gemäss den erwähnten medizinischen Unterlagen leide er an (Nennung Diagnose). Demzufolge war die Vorinstanz vor Erlass ihrer Verfügung weder gehalten, den (allfälligen) Eingang weiterer Beweismittel abzuwarten, mit welchen der Beschwerdeführer seinen Gesundheitszustand erneut und weitergehend hätte dokumentieren können, noch ihm eine bestimmte Frist zur Einreichung derselben anzusetzen oder in eigener Regie Abklärungen durchzuführen, was daher ebenfalls keine Verletzung des Untersuchungsgrundsatzes und mithin des rechtlichen Gehörs darstellt. Es besteht folglich in diesem Zusammenhang kein Grund, die angefochtene Verfügung aufzuheben und die Sache zur Neubeurteilung an das BFM zurückzuweisen. Eine Verletzung der Begründungspflicht ist in casu nicht zu erkennen, zumal es dem Beschwerdeführer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Von einer Verletzung des Untersuchungsgrundsatzes im Rahmen einer unrichtigen oder unvollständigen Feststellung des rechtserheblichen Sachverhaltes kann demnach nicht ausgegangen werden. 4.1.3 Die Rügen der unvollständigen Sachverhaltsfeststellung respektive der Verletzung des rechtlichen Gehörs (Untersuchungsgrundsatz; Abklärungs- und Begründungspflicht) - soweit die Zumutbarkeit des Wegweisungsvollzugs betreffend - erweisen sich demnach in den oben angeführten Punkten als unbegründet. 4.2 Jedoch ist mit Blick auf die Zulässigkeit des Wegweisungsvollzugs durch den angefochtenen vorinstanzlichen Entscheid vom 10. Januar 2013 eine Verletzung des rechtlichen Gehörs zu erkennen. Die Vorinstanz prüfte die mit dem im Wiedererwägungsgesuch gestellten Antrag einhergehenden Vorbringen betreffend die Zulässigkeit respektive Unzulässigkeit des Wegweisungsvollzugs offensichtlich nicht, zumal dem angefochtenen Entscheid diesbezüglich keinerlei Ausführungen oder Erwägungen zu entnehmen sind. Da der Beschwerdeführer in seinem Wiedererwägungsgesuch unter anderem ausdrücklich die Feststellung der Unzulässigkeit des Wegweisungsvollzugs beantragte, diesen Antrag in der Folge auch begründete (vgl. act. B1/8 S. 3) und die gesundheitliche Situation eines Asylgesuchstellers gemäss der dem BFM bekannten ständigen Rechtsprechung des Bundesverwaltungsgerichts auch bei der Prüfung der Zulässigkeit des Wegweisungsvollzugs zu berücksichtigen ist (vgl. BVGE 2011/9 E. 7.1 S. 117 f., BVGE 2009/2 E. 9.1.3 S. 19 f.), verletzte die Vorinstanz durch ihre Unterlassung in diesem Punkt das rechtliche Gehör. 4.3 Beschwerden gegen Verfügungen des BFM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was vorliegend jedoch nicht der Fall ist. Vorliegend fehlt diese bezüglich der Zulässigkeit des Wegweisungsvollzugs, da sich die Vorinstanz trotz Antrag und Begründung im Wiedererwägungsgesuch dazu nicht vernehmen liess. Abgesehen davon ginge dem Beschwerdeführer durch einen reformatorischen Entscheid vorliegend eine Überprüfungsinstanz verloren.</w:t>
      </w:r>
    </w:p>
    <w:p>
      <w:r>
        <w:rPr>
          <w:b/>
        </w:rPr>
        <w:t>E. 5</w:t>
      </w:r>
    </w:p>
    <w:p>
      <w:r>
        <w:t>Bei dieser Sachlage ist die Beschwerde im Sinne der Erwägungen gutzu-heissen. Die Verfügung vom 10. Januar 2013 ist aufzuheben und das BFM anzuweisen, über das Wiedererwägungsgesuch neu zu entscheiden. Auf die im Beschwerdeverfahren in reformatorischer Hinsicht gestellten Eventualbegehren und deren Begründung sowie auf die in diesem Zusammenhang eingereichten Dokumente ist bei diesem Verfahrensausgang nicht weiter einzugehen.</w:t>
      </w:r>
    </w:p>
    <w:p>
      <w:r>
        <w:rPr>
          <w:b/>
        </w:rPr>
        <w:t>E. 6</w:t>
      </w:r>
    </w:p>
    <w:p>
      <w:r>
        <w:t>Mit dem Entscheid in der Hauptsache ist das Gesuch, es sei der Beschwerde die aufschiebende Wirkung zu erteilen, gegenstandslos geworden. 7.1 Bei diesem Ausgang des Beschwerdeverfahrens sind keine Verfahrenskosten aufzuerlegen (Art. 63 Abs. 1 VwVG). 7.2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Rechtsvertretung ist zur unaufgeforderten Einreichung einer detaillierten Kostennote gehalten (Art. 14 Abs. 1 VGKE), ansonsten das Gericht die Entschädigung von Amtes wegen und aufgrund der Akten festlegt. Dem entsprechenden Antrag auf Einräumung einer Frist zur Einreichung einer Kostennote ist daher nicht stattzugeben. In Ermangelung des Vorliegens einer Kostennote und aufgrund des Umstandes, dass sich der notwendige Vertretungsaufwand in Anbetracht der Aktenlage hinreichend zuverlässig abschätzen lässt (Art. 14 Abs. 2 VGKE), ist unter Berücksichtigung der massgeblichen Bemessungsfaktoren (Art. 8 ff. VGKE) die entsprechende Parteientschädigung auf Fr. 1200.- (inkl. allfälliger Auslagen und Mehrwertsteuer) festzusetzen. Das BFM ist anzuweisen, dem Beschwerdeführer den Betrag in der Höhe von Fr. 1200.-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