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D-6525/2011 vom 10. Januar 2012</w:t>
      </w:r>
    </w:p>
    <w:p>
      <w:r>
        <w:t>Bundesverwaltungsgericht, 2012-01-10, DE</w:t>
      </w:r>
    </w:p>
    <w:p>
      <w:r>
        <w:rPr>
          <w:b/>
        </w:rPr>
        <w:t xml:space="preserve">Quelle: </w:t>
      </w:r>
      <w:r>
        <w:t>https://mcp.opencaselaw.ch/entscheid/bvger_D-6525_2011</w:t>
      </w:r>
    </w:p>
    <w:p>
      <w:r>
        <w:t>FR: TAF D-6525/2011 du 10 janvier 2012</w:t>
      </w:r>
    </w:p>
    <w:p>
      <w:r>
        <w:t>IT: TAF D-6525/2011 del 10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wird in der Beschwerde eine Verletzung des rechtlichen Gehörs gerügt. Den Erwägungen der Vorinstanz lasse sich keine praxiskonforme Prüfung der Gründe für die Bewilligung der Einreise zur Abklärung des Sachverhalts finden. Zudem liessen die Erwägungen zum Vorliegen des Asylausschlussgrundes gemäss Art. 52 Abs. 2 AsylG offen, ob und wie es dem Beschwerdeführer zuzumuten sei, sich in einem Drittstaat um Aufnahme zu bemühen. Die erforderliche Begründungsdichte richtet sich im Einzelfall nach dem Verfügungsgegenstand, den Verfahrensumständen und den Interessen des Betroffenen. Je grösser der Spielraum, welcher der Behörde infolge Ermessen und unbestimmter Rechtsbegriffe eingeräumt ist, und je stärker ein Entscheid in die individuellen Rechts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das BFM im angefochtenen Entscheid Genüge getan. Dass das BFM eine andere Schlussfolgerung zog als der Beschwerdeführer, stellt jedenfalls keine Verletzung des rechtlichen Gehörs dar, weshalb die entsprechende Rüge nicht gehört werden kann.</w:t>
      </w:r>
    </w:p>
    <w:p>
      <w:r>
        <w:rPr>
          <w:b/>
        </w:rPr>
        <w:t>E. 5.1</w:t>
      </w:r>
    </w:p>
    <w:p>
      <w:r>
        <w:t>Die Prüfung, ob ein Gesuchsteller die Flüchtlingseigenschaft originär, aufgrund einer eigenen persönlichen Gefährdung, erfüllt, geht der Prüfung eines allfälligen derivativen Anspruchs auf Anerkennung als Flüchtling vor. Die Prüfung des derivativen Einbezugs von Familienangehörigen und eingetragenen Partnern in die vorläufige Aufnahme von vorläufig aufgenommenen Flüchtlingen erfolgt erst, wenn in Anwendung von Art. 5 der Asylverordnung 1 vom 11. August 1999 über Verfahrensfragen (AsylV 1, SR 142.311) zuvor festgestellt wurde, dass die einzu­beziehende Person die Flüchtlingseigenschaft nicht selbstständig nach Art. 3 AsylG erfüllt (vgl. Art. 37 AsylV1, Art. 17 Abs. 2 AsylG; vgl. hierzu auch BVGE 2007/19 E. 3).</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5.3</w:t>
      </w:r>
    </w:p>
    <w:p>
      <w:r>
        <w:t>Das Bundesamt kann ein im Ausland eingereichtes Asylgesuch ablehnen, wenn die gesuchstellende Person keine Verfolgung glaubhaft machen oder ihr die Aufnahme in einem Drittstaat zugemutet werden kann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nur unter der Bedingung erteilt wird, dass der Person nicht zugemutet werden kann, im Wohnsitz- oder Aufenthaltsstaat zu bleiben oder in ein anderes Land auszureisen (Art. 20 Abs. 2 AsylG). Beim Entscheid über die Erteilung einer Einreisebewilligung gelten restriktive Voraussetzungen, wobei den Behörden ein weiter Ermessensspielraum zukommt. Neben der erforderlichen Gefährdung im Sinne von Art. 3 AsylG sind grundsätzlich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eine effektive Möglichkeit anderweitiger Schutzsuche besteht, mithin der Verbleib am Aufenthaltsort für die Dauer der Sachverhaltsabklärung zugemutet werden kann. Im Weiteren gilt es zu berücksichtigen, dass gemäss einem völkerrechtlichen Grundsatz eine Person, die eine Staatsangehörigkeit besitzt, die Flüchtlingseigenschaft nur dann erlangen kann, wenn sie sich ausserhalb des Staates aufhält, dem sie angehört. Befindet sich die um Asyl nachsuchende Person noch in ihrem Heimatstaat, stellt sich mit anderen Worten die Frage der formellen Zuerkennung der Flüchtlingseigenschaft nicht. Folgerichtig ist bei einem Verbleib im Heimatstaat nicht über die Zuerkennung der Flüchtlingseigenschaft und der Gewährung von Asyl zu befinden, auch dann nicht, wenn eine Verfolgung im Sinne von Art. 3 AsylG glaubhaft gemacht ist (vgl. EMARK 2005 Nr. 19 E. 4 S. 174 ff., EMARK 2004 Nr. 20 E. 3b S. 130 f. und Nr. 21 E. 2 S. 136 f., EMARK 1997 Nr. 15 E. 2.e-g S. 130 ff., welcher ange­sichts bloss redaktioneller Änderungen bei der letzten Totalrevision des Asyl­gesetzes nach wie vor Gültigkeit hat).</w:t>
      </w:r>
    </w:p>
    <w:p>
      <w:r>
        <w:rPr>
          <w:b/>
        </w:rPr>
        <w:t>E. 5.4</w:t>
      </w:r>
    </w:p>
    <w:p>
      <w:r>
        <w:t>Hinsichtlich des Verfahrens bei der schweizerischen Vertretung im Ausland sieht Art. 10 Abs. 1 AsylV 1 vor, dass diese mit der asylsuchenden Person in der Regel eine Befragung durchführt. Ist dies nicht möglich, so wird die asylsuchende Person aufgefordert, ihre Asylgründe schriftlich festzuhalten (Art. 10 Abs. 2 AsylV 1; vgl. hierzu auch BVGE 2007/30 E. 5.2).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Erwägung B.a vorstehend). Ausserdem hat das BFM den Verzicht auf eine Befragung zu begründen (vgl. BVGE 2007/30 E. 5.6 f.), was das Bundesamt in casu getan hat.</w:t>
      </w:r>
    </w:p>
    <w:p>
      <w:r>
        <w:rPr>
          <w:b/>
        </w:rPr>
        <w:t>E. 5.5</w:t>
      </w:r>
    </w:p>
    <w:p>
      <w:r>
        <w:t>Hält sich die Person, die ein Asylgesuch aus dem Ausland gestellt hat, in einem Drittstaat auf, bedeutet dies nicht zwingend, dass es ihr auch zuzumuten ist, sich dort um Aufnahme zu bemühen (vgl. EMARK 2004 Nr. 21 E. 4). In einem solchen Falle ist aber im Sinne einer Regelvermutung davon auszugehen, die betreffende Person habe in diesem Drittstaat bereits anderweitig Schutz gefunden, was in der Regel zur Ablehnung des Asylgesuchs und der Verweigerung der Ein­reisebewilligung führt (vgl. Urteil des Bundesverwaltungsgerichts E-7996/2008 vom 10. Dezember 2009 E. 2.2). In jedem Falle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einer Person den erforderlichen Schutz gewähren soll (vgl. EMARK 2004 Nr. 21 E. 4; EMARK 1997 Nr. 15 E. 2 f. sowie die vorstehenden Ausführungen unter Erwägung C. S. 4 oben).</w:t>
      </w:r>
    </w:p>
    <w:p>
      <w:r>
        <w:rPr>
          <w:b/>
        </w:rPr>
        <w:t>E. 6.1</w:t>
      </w:r>
    </w:p>
    <w:p>
      <w:r>
        <w:t>Den Akten zufolge befindet sich der Beschwerdeführer seit mehreren Monaten in Tunesien und hat sich dort im Flüchtlingslager B._______ beim UNHCR registrieren lassen. Die tunesischen Behörden haben ihm damit Schutz und Aufenthalt gewährt und er ist demnach nicht mit den Schwierigkeiten illegaler Flüchtlinge konfrontiert und hat völkerrechtlichen Schutz in einem Drittland gefunden. Das Bundesverwaltungsgericht verkennt zwar nicht, dass die Lebensumstände anerkannter Flüchtlinge in Tunesien schwierig sind, indes stellen sie die Zufluchtnahme in diesem Drittstaat nicht grundsätzlich in Frage. Somit erscheint der weitere Aufenthalt des Beschwerdeführers in Tunesien als zumutbar.</w:t>
      </w:r>
    </w:p>
    <w:p>
      <w:r>
        <w:rPr>
          <w:b/>
        </w:rPr>
        <w:t>E. 6.2</w:t>
      </w:r>
    </w:p>
    <w:p>
      <w:r>
        <w:t>Es ist somit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 Die Vorinstanz hat folglich das Aus­landsgesuch im Ergebnis zu Recht abgewiesen.</w:t>
      </w:r>
    </w:p>
    <w:p>
      <w:r>
        <w:rPr>
          <w:b/>
        </w:rPr>
        <w:t>E. 7.1</w:t>
      </w:r>
    </w:p>
    <w:p>
      <w:r>
        <w:t>Ehegatten, eingetragene Partnerinnen und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sind insbesondere dann zu berücksichtigen, wenn sie behindert sind oder aus einem anderen Grund auf die Hilfe einer Person, die in der Schweiz lebt, angewiesen sind (Art. 38 der Asylverordnung 1 vom 11. August 1999 über Verfahrensfragen [AsylV 1, SR 142.311]). Wurden die anspruchsberechtigten Personen nach Art. 51 Abs. 1 und 2 AsylG durch die Flucht getrennt und befinden sie sich im Ausland, so ist ihre Einreise auf Gesuch hin zu bewilligen (Art. 51 Abs. 4 AsylG).</w:t>
      </w:r>
    </w:p>
    <w:p>
      <w:r>
        <w:rPr>
          <w:b/>
        </w:rPr>
        <w:t>E. 7.2</w:t>
      </w:r>
    </w:p>
    <w:p>
      <w:r>
        <w:t>In allgemeiner Hinsicht wird bei der Gewährung von Familienasyl im Sinne von Art. 51 Abs. 2 AsylG vorausgesetzt, dass die betreffende Person mit dem in der Schweiz anerkannten Flüchtling im Moment der Flucht in einem gemeinsamen Haushalt gelebt hat, eine Wiederherstellung dieser Gemeinschaft unentbehrlich ist und in der Schweiz auch tatsächlich angestrebt wird (vgl. EMARK 2001 Nr. 24 E. 3 S. 191, EMARK 2000 Nr. 11).</w:t>
      </w:r>
    </w:p>
    <w:p>
      <w:r>
        <w:rPr>
          <w:b/>
        </w:rPr>
        <w:t>E. 7.3</w:t>
      </w:r>
    </w:p>
    <w:p>
      <w:r>
        <w:t>Besondere Gründe, die für eine Familienvereinigung im Sinne von Art. 51 Abs. 2 AsylG sprechen, liegen nach der Praxis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EMARK 2001 Nr. 24 E. 3, EMARK 2000 Nr. 27 E. 5 f., EMARK 2000 Nr. 21 E. 6.c). Besondere Gründe können - in atypi­schen Einzelfällen - auch dann vorliegen, wenn die in der Schweiz le­benden, asylberechtigten Familienangehörigen selbst einer solchen persönlichen Fürsorge durch die einzubeziehende Person bedürfen (vgl. EMARK 2000 Nr. 4 S. 42).</w:t>
      </w:r>
    </w:p>
    <w:p>
      <w:r>
        <w:rPr>
          <w:b/>
        </w:rPr>
        <w:t>E. 8.1</w:t>
      </w:r>
    </w:p>
    <w:p>
      <w:r>
        <w:t>In der angefochtenen Verfügung führte die Vorinstanz aus, dass ausserhalb der Kernfamilie, also auch zwischen den übrigen nahen Angehörigen, die Vermutung, dass eine enge Beziehung vorliegt, nicht mehr besteht, weil bei diesen Verhältnissen in der Regel keine Abhängigkeiten mehr vorliegen und keine Zweckgemeinschaft beabsichtigt ist. In diesen Fällen müssten deshalb besondere Umstände gegeben sein, die dazu führten, dass von einer engen Beziehung zwischen der Asyl suchenden Person und der in der Schweiz lebenden Person auszugehen sei. Aus diesen Ausführungen gehe hervor, dass der Cousin des Beschwerdeführers nicht zu dessen Kernfamilie gehöre. Aus den Akten seien auch keine besonderen Umstände ersichtlich, die dazu führen würden, dass ausnahmeweise von einer engen Bindung zwischen den beiden ausgegangen werden könne. Dieser Einschätzung ist beizupflichten. Auch die Ausführungen in der Beschwerdeeingaben vermögen zu keiner anderen Beurteilung zu führen.</w:t>
      </w:r>
    </w:p>
    <w:p>
      <w:r>
        <w:rPr>
          <w:b/>
        </w:rPr>
        <w:t>E. 8.2</w:t>
      </w:r>
    </w:p>
    <w:p>
      <w:r>
        <w:t>Aufgrund der geschilderten Lebensumstände des Beschwerdeführers in seinem Heimatstaat ergeben sich keine besonderen Gründe, welche für die Familienvereinigung im Sinne von Art. 51 Abs. 2 AsylG sprechen würden.</w:t>
      </w:r>
    </w:p>
    <w:p>
      <w:r>
        <w:rPr>
          <w:b/>
        </w:rPr>
        <w:t>E. 9</w:t>
      </w:r>
    </w:p>
    <w:p>
      <w:r>
        <w:t>Zusammenfassend ist festzuhalten, dass weder die Voraussetzungen für die Anerkennung als Flüchtling im Sinne von Art. 3 AsylG noch für den Einschluss des Beschwerdeführers in das Familienasyl gemäss Art. 51 Abs. 2 AsylG erfüllt sind. Das BFM hat somit das Asylgesuch mit Verfügung vom 1. November 2011 zu Recht abgelehnt.</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Das Gesuch um Gewährung der unentgeltlichen Rechtspflege gemäss Art. 65 Abs. 1 VwVG ist abzuweisen, da die Beschwerde aufgrund vorstehender Erwägungen als aussichtslos erscheint. Das Gesuch um Verzicht auf die Erhebung eines Kostenvorschusse ist angesichts des Entscheides in der Hauptsache gegenstandslos geworden.</w:t>
      </w:r>
    </w:p>
    <w:p>
      <w:r>
        <w:rPr>
          <w:b/>
        </w:rPr>
        <w:t>E. 12</w:t>
      </w:r>
    </w:p>
    <w:p>
      <w:r>
        <w:t>Bei diesem Ausgang des Verfahrens sind die Kosten dem Beschwerdeführer aufzuerlegen (Art. 63 Abs. 1 und 5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