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D-6524/2006 vom 15. Oktober 2009</w:t>
      </w:r>
    </w:p>
    <w:p>
      <w:r>
        <w:t>Bundesverwaltungsgericht, 2009-10-15, DE</w:t>
      </w:r>
    </w:p>
    <w:p>
      <w:r>
        <w:rPr>
          <w:b/>
        </w:rPr>
        <w:t xml:space="preserve">Quelle: </w:t>
      </w:r>
      <w:r>
        <w:t>https://mcp.opencaselaw.ch/entscheid/bvger_D-6524_2006</w:t>
      </w:r>
    </w:p>
    <w:p>
      <w:r>
        <w:t>FR: TAF D-6524/2006 du 15 octobre 2009</w:t>
      </w:r>
    </w:p>
    <w:p>
      <w:r>
        <w:t>IT: TAF D-6524/2006 del 15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der Fluchtvorbringen sprechen insbesondere: Übereinstimmung zwischen den verschiedenen Befragungen, mit den Beweismitteln und Indizien sowie mit der allgemeinen Lage im Heimatgebiet, (Vereinbarkeit mit dem dortigen Verfolgungsmuster etc.), Kohärenz, Substanziiertheit, Plausibilität, Schlüssigkeit, Korrektheit und Originalität der Angaben, persönliche Glaubwürdigkeit und Offenheit (vgl. WALTER STÖCKLI, Asyl, in: Uebersax/Rudin/Hugi/Yar/Geiser [Hrsg.], Ausländerrecht, 2. Aufl., Basel 2009, Rz. 11.149). Glaubhaft ist eine Sachverhaltsdarstellung dann, wenn die positiven Elemente überwiegen. Für die Glaubhaftmachung reicht es deshalb nicht aus, wenn der Inhalt der Vorbringen zwar möglich ist, aber in Würdigung der gesamten Aspekte wesentliche und überwiegende Umstände gegen die vorgebrachte Sachverhaltsdarstellung sprechen (vgl. EMARK 1996 Nr. 28 E. 3a S. 270).</w:t>
      </w:r>
    </w:p>
    <w:p>
      <w:r>
        <w:rPr>
          <w:b/>
        </w:rPr>
        <w:t>E. 4.2</w:t>
      </w:r>
    </w:p>
    <w:p>
      <w:r>
        <w:t>Die Beschwerdeführer wollen in ihrem Heimatland von unbekannten Dritten bedroht worden sein, welche in Beziehung zu den heimatlichen Behörden stünden; insbesondere seien drei Mordanschläge auf den Beschwerdeführer verübt worden. Gemäss EMARK 2006 Nr. 18 E. 7 und 8 ist bei völkerrechtskonformer Anwendung von Art. 3 AsylG im Lichte der Genfer Flüchtlingskonvention die grundsätzliche flüchtlingsrechtliche Relevanz nichtstaatlicher Verfolgung anzuerkennen (Praxisänderung; vgl. zuletzt EMARK 2004 Nr. 14; Wechsel von der Zurechenbarkeits- zur Schutztheorie). Aufgrund der Subsidiarität des flüchtlingsrechtlichen Schutzes erfüllt die Flüchtlingseigenschaft nicht, wer in seinem Heimatland Schutz vor nichtstaatlicher Verfolgung finden kann (vgl. EMARK 2006 Nr. 18 E. 10.1.). Solcher Schutz kann durch den Heimatstaat oder durch einen im Sinne der auch heute noch geltenden Rechtsprechung der ARK besonders qualifizierten Quasi-Staat (vgl. EMARK 2000 Nr. 15, 2004 Nr. 14) - eventuell auch durch bestimmte internationale Organisationen - gewährt werden (vgl. EMARK 2006 Nr. 18 E. 10.2.).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Es obliegt der entscheidenden Behörde, die konkrete Effektivität des Schutzes im Heimatland abzuklären und zu begründen (vgl. EMARK 2006 Nr. 18 E. 10.3.).</w:t>
      </w:r>
    </w:p>
    <w:p>
      <w:r>
        <w:rPr>
          <w:b/>
        </w:rPr>
        <w:t>E. 4.3</w:t>
      </w:r>
    </w:p>
    <w:p>
      <w:r>
        <w:t>Den Beschwerdeführern kann, wie sich aus den folgenden Erwägungen ergibt, nicht geglaubt werden, dass sie von unbekannten Dritten verfolgt wurden. So befürchteten die Beschwerdeführer, dass ihre Kinder in ihrem Heimatland entführt würden. Vor diesem Hintergrund ist es nicht nachvollziehbar, dass sie die Töchter des Beschwerdeführers aus erster Ehe im Heimatland zurückliessen und somit bei Wahrunterstellung ihrer Vorbringen jene einer potenziellen Lebensgefahr aussetzten, zumal sie nach eigenen Angaben und aufgrund der Visaerteilung ihr Land unbehelligt und legal verlassen konnten. Gleichermassen ungereimt ist der Umstand, wonach der angeblich von drei Mordanschlägen betroffene Beschwerdeführer nach der Einreise in die Schweiz rund drei Monate abwartete, bevor er sein Asylgesuch stellte. Zudem reiste der Beschwerdeführer im Zeitraum März 1999 bis Juli 2001 mehrmals legal in verschiedene Länder und kehrte jeweils freiwillig in sein Heimatland zurück, obwohl er dort angeblich verfolgt gewesen sein beziehungsweise sogar in Lebensgefahr geschwebt haben will. Auf Beschwerdeebene wird diesbezüglich nichts vorgebracht, das die Diskrepanz zwischen angeblicher Bedrohung und Verhalten des Beschwerdeführers erklären könnte. Dies spricht gegen eine asylrechtlich relevante Verfolgung des Beschwerdeführers in seinem Heimatland. Daran ändern auch die mit Eingabe vom 2. Oktober 2003 eingereichten "Zeugenaussagen" nichts. Zeugen werden von einem Gericht in einem streng formalistischen Verfahren befragt und dabei auch auf die strafrechtlichen Folgen des falschen Zeugnisses hingewiesen. Diese Anforderungen erfüllen die fraglichen "Zeugenaussagen" offensichtlich nicht, zumal es sich nicht um Gerichtsdokumente handelt. Inhaltlich vermögen diese Auskünfte von Drittpersonen jedenfalls die oben erwähnten Ungereimtheiten im Verhalten des Beschwerdeführers nicht zu erklären. Vielmehr ist festzuhalten, dass es diesem gelang, in einem Forderungsprozess in seinem Heimatland einen Erfolg zu erzielen. Es ist ihm deshalb zumutbar und möglich, für das Eintreiben der ihm gerichtlich zugesprochenen Geldforderung weiterhin den Rechtsweg einzuschlagen, mag dieser auch langwierig und kompliziert erscheinen. Da keine glaubhafte asylrelevante Verfolgung des Beschwerdeführers vorliegt, ist eine solche auch für die Beschwerdeführerin und Sohn E._______ zu verneinen, leiten doch diese ihre angebliche Verfolgung von derjenigen des Beschwerdeführers ab.</w:t>
      </w:r>
    </w:p>
    <w:p>
      <w:r>
        <w:rPr>
          <w:b/>
        </w:rPr>
        <w:t>E. 4.4</w:t>
      </w:r>
    </w:p>
    <w:p>
      <w:r>
        <w:t>Die Beschwerdeführer sind Muslime und gehören nach eigenen Angaben der Ethnie der Aserbaidschaner an, welche die Mehrheitsbevölkerung stellen. Aserbaidschanern, deren Asylgesuche im Ausland abgelehnt worden sind, werden bei der Rückkehr in den Heimatstaat grundsätzlich keine Hindernisse in den Weg gelegt (vgl. den Country Report on Human Rights Practices 2004 des U.S. Departement of State zu Aserbaidschan, S. 9), weshalb bei den Beschwerdeführern auch keine objektiven Nachfluchtgründe gegeben sind.</w:t>
      </w:r>
    </w:p>
    <w:p>
      <w:r>
        <w:rPr>
          <w:b/>
        </w:rPr>
        <w:t>E. 4.5</w:t>
      </w:r>
    </w:p>
    <w:p>
      <w:r>
        <w:t>Zusätzliche Abklärungen zum Sachverhalt oder die Prüfung weiterer Rechtsfragen sind nur dann vorzunehmen, wenn hierzu aufgrund bestimmter, sich aus den Akten oder der Beschwerdeschrift ergebender Anhaltspunkte hinreichend Anlass besteht (vgl. EMARK 2003 Nr. 15 E. 2a S. 94, mit Hinweis auf EMARK 2003 Nr. 13). Beim Beizug von Beweismitteln ist zu beachten, dass die Wahrung des rechtlichen Gehörs grundsätzlich verlangt, die zur Verfügung stehenden Beweise abzunehmen. Davon darf indes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(vgl. EMARK 2003 Nr. 13 E. 4c S. 84; Alfred Kölz/Isabelle Häner, Verwaltungsverfahren und Verwaltungsrechtspflege des Bundes, 2. Aufl., Zürich 1998, S. 39, Rz 111 mit Hinweis auf BGE 122 V 162 119 Ib 505 f.). Nach dem Gesagten gilt der entscheidwesentliche Sachverhalt als erstellt. Demnach erübrigt sich die Abnahme weiterer Beweise; sämtliche Beweisanträge werden deshalb abgewiesen.</w:t>
      </w:r>
    </w:p>
    <w:p>
      <w:r>
        <w:rPr>
          <w:b/>
        </w:rPr>
        <w:t>E. 4.6</w:t>
      </w:r>
    </w:p>
    <w:p>
      <w:r>
        <w:t>Zusammenfassend ist festzustellen, dass die Beschwerdeführer keine Verfolgung im Sinne von Art. 3 AsylG glaubhaft machen und nicht als Flüchtlinge anerkannt werden können. Mangels erfüllter Flüchtlingseigenschaft ist ihnen zu Recht das nachgesuchte Asyl nicht gewährt worden. Bei dieser Sachlage erübrigt es sich, auf die weiteren Vorbringen und auf die als Beweismittel eingereichten Dokumente im Einzelnen einzugehen, da sie zu keinem anderen Ergebnis zu führen vermöchten.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einen Drittstaat entgegenstehen (Art. 83 Abs. 3 AuG).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ihren Heimatstaat ist demnach unter dem Aspekt von Art. 5 AsylG rechtmässig.</w:t>
      </w:r>
    </w:p>
    <w:p>
      <w:r>
        <w:rPr>
          <w:b/>
        </w:rPr>
        <w:t>E. 6.2.3</w:t>
      </w:r>
    </w:p>
    <w:p>
      <w:r>
        <w:t>Sodann ergeben sich weder aus den Aussagen der Beschwerdeführer noch aus den Akten Anhaltspunkte dafür, dass sie für den Fall einer Ausschaffung in ihren Heimatstaat dort mit beachtlicher Wahrscheinlichkeit einer nach Art. 3 EMRK oder Art. 1 FoK verbotenen Strafe oder Behandlung ausgesetzt wären. Gemäss Praxis des Europäischen Gerichtshofes für Menschenrechte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[Grosse Kammer], Saadi gegen Italien, Urteil vom 28. Februar 2008, Beschwerde Nr. 37201/06, §§ 124 bis 127, mit weiteren Hinweisen). Die allgemeine Menschenrechtssituation in ihrem Heimatstaat lässt den Wegweisungsvollzug zum heutigen Zeitpunkt nicht als unzulässig erscheinen. Weiter ist mit Blick auf die gesundheitliche Situation der Beschwerdeführerin (vgl. nachfolgend E. 6.3.3) festzuhalten, dass deren gesundheitliche Probleme unter dem Blickwinkel von Art. 3 EMRK selbst dann kein völkerrechtliches Vollzugshindernis darstellen würden, falls in Aserbaidschan der medizinische Standard schlechter als in der Schweiz wäre (vgl. EMARK 2004 Nr. 6 E. 7 S. 40 ff., EMARK 2004 Nr. 7 E. 5 S. 47 ff.). Es ist daher festzuhalten, dass die Beschwerdeführerin - sollte eine weitere Behandlung notwendig sein - in ihrem Heimatland auf die dort bestehenden und nach Kenntnis des Bundesverwaltungsgerichts als ausreichend zu bezeichnenden medizinischen Behandlungsinstitutionen zurückgreifen kann. Nach dem Gesagten ist der Vollzug der Wegweisung sowohl im Sinne der asyl- als auch der völkerrechtlichen Bestimmungen zulässig.</w:t>
      </w:r>
    </w:p>
    <w:p>
      <w:r>
        <w:rPr>
          <w:b/>
        </w:rPr>
        <w:t>E. 6.3.1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EMARK 1995 Nr. 5 E. 6e S. 47, EMARK 1994 Nr. 20 S. 155 ff., EMARK 1994 Nr. 19 S. 145 ff., EMARK 1994 Nr. 18 S. 139 ff.).</w:t>
      </w:r>
    </w:p>
    <w:p>
      <w:r>
        <w:rPr>
          <w:b/>
        </w:rPr>
        <w:t>E. 6.3.2</w:t>
      </w:r>
    </w:p>
    <w:p>
      <w:r>
        <w:t>Vorliegend ist nicht von einer durch Krieg, Bürgerkrieg oder durch eine Situation allgemeiner Gewalt gekennzeichneten Situation in Aserbaidschan auszugehen. Das Ermessen, welches die "Kann-Bestimmung" von Art. 83 Abs. 4 AuG den zuständigen Behörden einräumt, erfordert in jedem einzelnen Fall, die Situation, welche sich für die betroffene Person nach Vollzug der Wegweisung im Heimatland ergäbe, und die damit verbundenen humanitären Aspekte den öffentlichen Interessen gegenüberzustellen, welche für den Vollzug der Wegweisung sprechen (vgl. EMARK 1994 Nr. 18 E. 4d S. 140 f., EMARK 2003 Nr. 17 E. 6a S. 107). Allfällige wirtschaftliche Schwierigkeiten, von denen die Beschwerdeführer nach der Rückkehr betroffen sein könnten, stellen sodann keine die Existenz bedrohende Situation dar, welche den Vollzug der Wegweisung in den Heimatstaat als unzumutbar erscheinen lassen (vgl. EMARK 2005 Nr. 24 E. 10.1 S. 215). Vielmehr ist davon auszugehen, dass insbesondere dank den Fähigkeiten des Beschwerdeführers als Geschäftsmann der Aufbau einer wirtschaftlichen Existenz für seine Familie mit überwiegender Wahrscheinlichkeit möglich sein wird. Ebenso ist von einem verwandtschaftlichen beziehungsweise sozialen Beziehungsnetz der Beschwerdeführer auszugehen, das sie bei der Reintegration in ihrem Heimatland unterstützen kann.</w:t>
      </w:r>
    </w:p>
    <w:p>
      <w:r>
        <w:rPr>
          <w:b/>
        </w:rPr>
        <w:t>E. 6.3.3</w:t>
      </w:r>
    </w:p>
    <w:p>
      <w:r>
        <w:t>Bei der Beschwerdeführerin wurde im Oktober 2003 eine verdächtige Raumforderung der linken Brust entdeckt; die Untersuchung ergab ein {....}. Die Beschwerdeführerin wurde wegen {....} mit {....} behandelt. {....}. Es bleibt deshalb zu prüfen, ob die gesundheitlichen Beschwerden der Beschwerdeführerin ein individuelles Vollzugshindernis bilden könnten. Entsprechen die Behandlungsmöglichkeiten im Herkunftsland nicht dem medizinischen Standard in der Schweiz, macht dies allein den Vollzug noch nicht unzumutbar, hingegen dann, wenn die ungenügende Möglichkeit der Weiterbehandlung eine drastische und lebensbedrohende Verschlechterung des Gesundheitszustandes nach sich zieht (vgl. EMARK 2003 Nr. 24 E. 5b S. 157 f., EMARK 2004 Nr. 7 E. 5d S. 50 ff.). Nach Abschluss der in der Schweiz vorgesehenen Therapie {....}, ist aufgrund der heutigen Aktenlage nicht auf eine ungenügende Möglichkeit der Weiterbehandlung im Heimatland zu schliessen, zumal dort nach den Erkenntnissen des Bundesverwaltungsgerichts über das Gesundheitswesen von Aserbaidschan eine solche möglich ist. Zudem kann die Beschwerdeführerin bei der Vorinstanz unter Vorlage entsprechender ärztlicher Atteste medizinische Rückkehrhilfe beantragen (Art. 93 Abs. 1 Bst. d AsyIG i.V.m. Art. 75 der Asylverordnung 2 vom 11. August 1999 über Finanzierungsfragen [AsylV 2, SR 142.312]), was allfällige negative gesundheitliche Folgen der Rückkehr mildern wird. Bei dieser Sachlage kann darauf verzichtet werden, von der Beschwerdeführerin ein aktuelles Arztzeugnis zu verlangen, zumal sie bis Februar 2009 durch einen Rechtsanwalt vertreten war und davon auszugehen ist, allfällige, einem Wegweisungsvollzug widersprechende gesundheitliche Beeinträchtigungen wären von diesem geltend gemacht worden.</w:t>
      </w:r>
    </w:p>
    <w:p>
      <w:r>
        <w:rPr>
          <w:b/>
        </w:rPr>
        <w:t>E. 6.3.4</w:t>
      </w:r>
    </w:p>
    <w:p>
      <w:r>
        <w:t>Nach der Rechtsprechung der ARK, welche vom Bundesverwaltungsgericht weitergeführt wird, ist bei der Beurteilung der Zumutbarkeit des Wegweisungsvollzugs der Aspekt des Kindeswohls zu berücksichtigen. Dies ergibt sich nicht zuletzt aus einer völkerrechtskonformen Auslegung des Art. 83 Abs. 4 AuG im Licht von Art. 3 Abs. 2 des Übereinkommens vom 20. November 1989 über die Rechte des Kindes (SR 0.107). Demzufolge sind unter dem Aspekt des Kindswohls sämtliche Umstände einzubeziehen und zu würdigen, die im Hinblick auf eine Wegweisung wesentlich erscheinen (vgl. EMARK 1998 Nr. 13 E. 5e.aa S. 98 f.). Gemäss EMARK 2005 Nr. 6 können erschwerte Reintegrationsmöglichkeiten im Heimatstaat infolge einer fortgeschrittenen Assimilierung des Kindes in der Schweiz zur Feststellung der Unzumutbarkeit des Wegweisungsvollzugs der ganzen Familie führen. Die Verwurzelung der Beschwerdeführer in der Schweiz ist zwar bei der Beurteilung der Zumutbarkeit einer Rückkehr ins Heimatland lediglich von untergeordneter Bedeutung, sie kann aber eine reziproke Wirkung auf die Frage der Zumutbarkeit der Wegweisungsvollzugs haben, indem eine starke Assimilierung in der Schweiz - und davon ist bei einem längeren Aufenthalt von Kindern auszugehen - mithin eine Entwurzelung im Heimatstaat zur Folge haben kann, welche unter Umständen die Rückkehr dorthin als unzumutbar erscheinen lässt (vgl. EMARK 1998 Nr. 31 E. 8c.ff.ccc S. 260 f.); diese Voraussetzungen sind im vorliegenden Fall indes nicht gegeben. In casu ist festzustellen, dass der in das Asylgesuch der Eltern eingeschlossene Sohn mit {....} in die Schweiz gelangte. Zwar hat er prägende Jahre seiner Kindheit in der Schweiz verbracht, doch kann nicht in Abrede gestellt werden, dass altersgemäss der Anschluss an die Eltern noch gross ist und diese seine wichtigsten Bezugspersonen sein dürften. Sohn E._______ befindet sich nicht in der Pubertät, so dass der damit verbundene Loslösungsprozess von den Eltern noch nicht stattgefunden hat. Demnach ist der Vollzug der Wegweisung für ihn als zumutbar zu bezeichnen.</w:t>
      </w:r>
    </w:p>
    <w:p>
      <w:r>
        <w:rPr>
          <w:b/>
        </w:rPr>
        <w:t>E. 6.3.5</w:t>
      </w:r>
    </w:p>
    <w:p>
      <w:r>
        <w:t>In Berücksichtigung sämtlicher für den vorliegenden Fall relevanten Umstände erachtet das Bundesverwaltungsgericht demnach den Vollzug der Wegweisung durch Rückschaffung der Beschwerdeführer nach Aserbaidschan als zumutbar.</w:t>
      </w:r>
    </w:p>
    <w:p>
      <w:r>
        <w:rPr>
          <w:b/>
        </w:rPr>
        <w:t>E. 6.4</w:t>
      </w:r>
    </w:p>
    <w:p>
      <w:r>
        <w:t>Schliesslich obliegt es den Beschwerdeführern, sich bei der zuständigen Vertretung ihres Heimatstaates die für eine Rückkehr notwendigen Reisedokumente zu beschaffen respektive sich um eine Verlängerung der Gültigkeitsdauer ihrer Reisepässe zu bemühen (Art. 8 Abs. 4 AsylG), weshalb der Vollzug der Wegweisung auch als möglich zu bezeichnen ist.</w:t>
      </w:r>
    </w:p>
    <w:p>
      <w:r>
        <w:rPr>
          <w:b/>
        </w:rPr>
        <w:t>E. 6.5</w:t>
      </w:r>
    </w:p>
    <w:p>
      <w:r>
        <w:t>Die gesetzliche Grundlage für die Anerkennung einer schwerwiegenden persönlichen Notlage gemäss alt Art. 44 Abs. 3 AsylG ist weggefallen, weshalb es sich erübrigt, auf die diesbezüglichen Vorbringen in der Eingabe vom 27. März 2006 einzugehen.</w:t>
      </w:r>
    </w:p>
    <w:p>
      <w:r>
        <w:rPr>
          <w:b/>
        </w:rPr>
        <w:t>E. 6.6</w:t>
      </w:r>
    </w:p>
    <w:p>
      <w:r>
        <w:t>Die Vorinstanz hat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den Beschwerdeführern aufzuerlegen (Art. 63 Abs. 1 und 5 VwVG), auf insgesamt Fr. 600.-- festzusetzen (Art. 1-3 des Reglements vom 21. Februar 2008 über die Kosten und Entschädigungen vor dem Bundesverwaltungsgericht [VGKE, SR 173.320.2]) und mit dem am 20. Juni 2003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