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D-6518/2006 vom 9. Juli 2009</w:t>
      </w:r>
    </w:p>
    <w:p>
      <w:r>
        <w:t>Bundesverwaltungsgericht, 2009-07-09, FR</w:t>
      </w:r>
    </w:p>
    <w:p>
      <w:r>
        <w:rPr>
          <w:b/>
        </w:rPr>
        <w:t xml:space="preserve">Quelle: </w:t>
      </w:r>
      <w:r>
        <w:t>https://mcp.opencaselaw.ch/entscheid/bvger_D-6518_2006</w:t>
      </w:r>
    </w:p>
    <w:p>
      <w:r>
        <w:t>FR: TAF D-6518/2006 du 9 juillet 2009</w:t>
      </w:r>
    </w:p>
    <w:p>
      <w:r>
        <w:t>IT: TAF D-6518/2006 del 9 luglio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PA) et leur recours, respectant les exigences légales en la matière (art. 50 PA dans sa version introduite le 1er juin 1973, en vigueur jusqu'au 31 décembre 2006, et art. 52 PA), est recevable.</w:t>
      </w:r>
    </w:p>
    <w:p>
      <w:r>
        <w:rPr>
          <w:b/>
        </w:rPr>
        <w:t>E. 3</w:t>
      </w:r>
    </w:p>
    <w:p>
      <w:r>
        <w:t>Préliminairement, le Tribunal relève que la recourante, par courrier du 12 septembre 2008, a demandé à ce que sa cause soit examinée indépendamment de la situation de son mari dont elle entendait divorcer. Dans la mesure où il y a lieu de considérer cette requête comme une demande de disjonction des causes, le Tribunal juge qu'il ne se justifie pas d'y donner suite compte tenu de la connexité des motifs allégués. En effet, force est de constater que les motifs de la recourante découlent directement de ceux de son mari et y sont intimement liés. Dans ces conditions, le Tribunal statuera en une seule décision, laquelle sera cependant communiquée en deux exemplaires originaux et séparément aux recourants par le biais de leurs mandataires respectifs.</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bien-fondé de la décision querellée.</w:t>
      </w:r>
    </w:p>
    <w:p>
      <w:r>
        <w:rPr>
          <w:b/>
        </w:rPr>
        <w:t>E. 5.2</w:t>
      </w:r>
    </w:p>
    <w:p>
      <w:r>
        <w:t>Le Tribunal constate d'abord que les allégations déterminantes que les intéressés ont faites au cours de la procédure relatives aux motifs qui les auraient incités à quitter leur pays, ne sont que de simples affirmations de leur part, inconsistantes sur certains points et divergentes sur d'autres, dépourvues au surplus de toute chronologie cohérente, qu'aucun élément concret et sérieux ni moyen de preuve déterminant ne vient étayer. Par ailleurs, il juge que dites allégations ne remplissent pas les conditions de vraisemblance de l'art. 7 LAsi. En effet, si l'on veut bien admettre que le fait de servir au sein d'une armée étrangère soit un délit en Ukraine - comme c'est d'ailleurs le cas également en Suisse (cf. art. 94 al. 1 du Code pénal militaire du 13 juin 1927 [CPM ; RS 321.0]) - encore faut-il pour rendre crédibles des poursuites de la part de l'Etat concerné que les agents de cet Etat adoptent dans la poursuite pénale un comportement cohérent. Or, sur la base du récit présenté, tel n'est pas le cas en l'espèce. En effet, les services secrets ukrainiens ne sont pas l'autorité compétente en matière de poursuite pénale et les recourants n'ont pas évoqué l'intervention d'autres agents étatiques durant les premières années suivant le retour de l'intéressé au pays (en [...]). Au contraire, selon les éléments ressortant du dossier, le requérant s'est vu officiellement délivrer un passeport le (...). Ce passeport lui aurait été retiré, puis restitué par des agents de l'Etat ukrainien, ce qui n'est nullement cohérent pour une autorité qui voudrait sanctionner pénalement un traître supposé. Le recourant a certes fait valoir que le but poursuivi par les autorités était en fait de le contraindre à quitter le territoire ukrainien, ce qui ne représente toutefois pas non plus une motivation crédible dans le contexte de l'espèce. En outre, durant toutes les années qui ont suivi, l'intéressé a voyagé à de nombreuses reprises à travers plusieurs pays d'Europe, retournant également dans son pays d'origine, ce qui n'est pas compatible avec le comportement qu'adopterait une personne craignant réellement des persécutions. Il n'est pas non plus crédible que le requérant ait été retenu durant (...) à son retour en Ukraine en (...), avant de pouvoir librement retourner chez lui et d'être à nouveau recherché par les autorités à peine quelques jours plus tard. On relèvera d'ailleurs que si les autorités avaient réellement tendu un piège au recourant en faisant croire à sa femme que les charges contre lui avaient été levées afin de le faire revenir au pays, elles ne l'auraient certainement pas relâché après (...) lors de son retour. Par ailleurs, on ne saurait admettre que les autorités aient exercé des pressions sur les intéressés, et plus particulièrement sur la recourante, en vue de leur faire quitter le pays, dans la mesure où cette dernière avait obtenu l'autorisation d'installer auparavant un stand dans un marché. S'agissant des motifs complémentaires avancés dans le courrier adressé le 13 octobre 2003 à la CRA, selon lesquels à son retour de E._______, le recourant aurait assuré la sécurité d'un candidat de l'opposition aux élections, ils ne s'inscrivent pas d'une part dans la cohérence du récit présenté jusque-là et interviennent d'autre part tardivement en procédure (ils n'ont pas non plus été même évoqués durant la première procédure d'asile en Suisse), ce qui ne les rend pas crédibles. Ils apparaissent donc avoir été avancés pour donner une connotation politique au récit et pour les besoins de la cause. Ils ne sont d'ailleurs étayés par aucun élément concret. Il est à remarquer par ailleurs que l'on pourrait également mettre en doute les dires du requérant relatifs à son engagement au sein de E._______, dès lors qu'ils ne correspondent pas à ce qu'il a allégué ultérieurement, le (...), devant Q._______ dans le cadre d'une affaire de violences conjugales. En effet, à cette occasion, il a déclaré qu'après son service militaire, il était parti en G._______ pour y travailler comme (...). Il aurait ensuite travaillé pour l'armée (...) durant plusieurs années, puis en (...) il aurait fui son pays pour venir en Suisse.</w:t>
      </w:r>
    </w:p>
    <w:p>
      <w:r>
        <w:rPr>
          <w:b/>
        </w:rPr>
        <w:t>E. 5.3</w:t>
      </w:r>
    </w:p>
    <w:p>
      <w:r>
        <w:t>A cela s'ajoute que la crédibilité de l'intéressé est sérieusement entachée par le fait qu'il a sciemment dissimulé qu'avant de venir en Suisse, il avait précédemment séjourné en F._______ où il avait déposé, le (...), une demande d'asile, laquelle avait été définitivement rejetée le (...). Ses explications quant à cette omission ne sont ni convaincantes ni pertinentes. Il ne saurait en particulier faire croire qu'il pensait que cela n'avait pas d'importance pour les autorités helvétiques (cf. pv. de l'audition du 21 juillet 2003, p. 2). Il convient à cet égard de rappeler qu'il lui a été expressément demandé s'il avait déjà déposé une demande d'asile avant de venir en Suisse (cf. pv audition du 5 octobre 2001, p. 6) et qu'il a été rendu attentif à la nécessité de dire la vérité et de répondre de façon complète à toutes les questions (cf. ibidem, p. 2).</w:t>
      </w:r>
    </w:p>
    <w:p>
      <w:r>
        <w:rPr>
          <w:b/>
        </w:rPr>
        <w:t>E. 5.4</w:t>
      </w:r>
    </w:p>
    <w:p>
      <w:r>
        <w:t>Au demeurant, et indépendamment de leur vraisemblance, les motifs allégués ne sont pas déterminants au regard de l'art. 3 LAsi. Il y a lieu de rappeler que tout État peut légitimement entreprendre des mesures en vue de sanctionner des actes illicites et d'assurer le maintien de l'ordre public. Ce n'est que si l'État abuse de ce moyen pour l'un des motifs énumérés à l'art. 3 LAsi que l'on peut conclure à la réalité d'une persécution. Or, en l'espèce, il n'y a au dossier aucun élément tangible permettant de craindre que tel puisse être le cas. Comme on l'a vu ci-dessus, le fait d'interdire, et corollairement de sanctionner le service militaire à l'étranger ne peut être considéré en tant que tel comme une persécution au sens de la disposition précitée. Le recourant n'a à cet égard pas démontré, ni même allégué, qu'il se verrait infliger pour l'infraction militaire commise une peine d'une sévérité disproportionnée du fait de sa race, de sa religion, de sa nationalité, de son appartenance à un certain groupe social ou de ses opinions politiques. Quant aux déclarations ultérieures, outre leur caractère tardif et divergent par rapport à leurs précédentes allégations, force est de constater qu'elles ne contiennent aucun élément déterminant au regard de l'art. 3 LAsi. Rien ne permet en effet de penser que les problèmes que les recourants auraient rencontrés dans leurs activités commerciales ou professionnelles sortiraient d'un cadre purement légal (dispositions fiscales et réglementations sur le commerce et les denrées alimentaires) ou contractuel.</w:t>
      </w:r>
    </w:p>
    <w:p>
      <w:r>
        <w:rPr>
          <w:b/>
        </w:rPr>
        <w:t>E. 5.5</w:t>
      </w:r>
    </w:p>
    <w:p>
      <w:r>
        <w:t>Les intéressés ont certes produit divers moyens de preuve.</w:t>
      </w:r>
    </w:p>
    <w:p>
      <w:r>
        <w:rPr>
          <w:b/>
        </w:rPr>
        <w:t>E. 5.5.1</w:t>
      </w:r>
    </w:p>
    <w:p>
      <w:r>
        <w:t>S'agissant tout d'abord des convocations versées au dossier, indépendamment de la question de leur authenticité, il y a lieu de relever qu'elles ne contiennent aucune indication propre à démontrer la véracité des allégations des intéressés ou à établir leur qualité de réfugié. En particulier, il n'y a au dossier aucun élément tangible permettant de craindre que l'Etat abuse de ses prérogatives pour l'un des motifs énumérés à l'art. 3 LAsi (cf. consid. 5.4). Il convient de relever à cet égard qu'il ressort des convocations produites les 17 septembre et 13 octobre 2003 que le recourant ne serait convoqué qu'à titre de témoin. En outre, le fait que les autorités adressent des convocations écrites constitue un changement d'attitude de la part de celles-ci, puisque jusque-là l'intéressé avait indiqué que ces dernières évitaient les convocations écrites et préféraient les convocations orales (cf. pv de l'audition du 21 juillet 2003, p. 3). Il n'a toutefois avancé aucune explication plausible de nature à expliquer un tel changement d'attitude de la part des autorités à son égard. En tout état de cause, la simple production de tels documents judiciaires n'apparaît pas suffisante pour démontrer qu'il serait recherché dans son pays pour un motif découlant de l'art. 3 LAsi ou qu'il y encourrait une sanction disproportionnée de ce fait.</w:t>
      </w:r>
    </w:p>
    <w:p>
      <w:r>
        <w:rPr>
          <w:b/>
        </w:rPr>
        <w:t>E. 5.5.2</w:t>
      </w:r>
    </w:p>
    <w:p>
      <w:r>
        <w:t>Cela étant, le Tribunal, au vu de leur forme pour le moins douteuse, émet de très fortes réserves quant à l'authenticité des convocations produites les 13 octobre 2003 et 27 janvier 2004. Ainsi, il y a lieu de relever, s'agissant des premières, l'absence de tout en-tête et une rédaction purement manuscrite. Quant aux secondes, également entièrement manuscrites, si elles comportent certes un en-tête et un timbre, il est paradoxal de constater qu'il s'agit des mêmes alors que les convocations émaneraient pourtant de deux instances différentes concernant deux affaires distinctes. Dans ces conditions, et au vu de l'ensemble des circonstances, il y a tout lieu de considérer ces documents comme des faux, fabriqués de toutes pièces pour les besoins de la cause.</w:t>
      </w:r>
    </w:p>
    <w:p>
      <w:r>
        <w:rPr>
          <w:b/>
        </w:rPr>
        <w:t>E. 5.5.3</w:t>
      </w:r>
    </w:p>
    <w:p>
      <w:r>
        <w:t>Quant aux autres documents produits, relatifs à l'annulation du contrat de vente d'une maison, au contrat de travail de la recourante, à leur voiture et à l'adoption d'un enfant, force est de constater qu'ils ne contiennent aucune indication déterminante au regard de l'art. 3 LAsi.</w:t>
      </w:r>
    </w:p>
    <w:p>
      <w:r>
        <w:rPr>
          <w:b/>
        </w:rPr>
        <w:t>E. 5.6</w:t>
      </w:r>
    </w:p>
    <w:p>
      <w:r>
        <w:t>Il s'ensuit que le recours, en tant qu'il porte sur la reconnaissance de la qualité de réfugié et sur l'octroi de l'asile,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7.2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7.3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7.4</w:t>
      </w:r>
    </w:p>
    <w:p>
      <w:r>
        <w:t>L'Ukraine ne connaît pas une situation de guerre, de guerre civile ou de violences généralisées sur l'ensemble de son territoire qui permettrait d'emblée de présumer, à propos de tous les requérants provenant de cet État, et quelles que soient les circonstances de chaque cause, l'existence d'une mise en danger concrète au sens des dispositions précitées. Ce pays a par ailleurs été reconnu comme un Etat exempt de persécutions ("safe country") par le Conseil fédéral avec effet au 1er janvier 2007.</w:t>
      </w:r>
    </w:p>
    <w:p>
      <w:r>
        <w:rPr>
          <w:b/>
        </w:rPr>
        <w:t>E. 7.4.1</w:t>
      </w:r>
    </w:p>
    <w:p>
      <w:r>
        <w:t>En outre, il ne ressort pas du dossier que les intéressés pourraient être mis sérieusement en danger pour des motifs qui leur seraient propres et cela même s'ils vivent séparés aujourd'hui. Ils sont l'un et l'autre dans la force de l'âge, et peuvent se prévaloir d'une formation et d'expériences professionnelles acquises tant en Ukraine qu'en Suisse. De plus, ils diposent tous deux d'un réseau familial dans leur pays et on peut raisonnablement partir de l'idée qu'ils se sont créé un réseau social et professionnel qu'ils pourront, cas échéant, réactiver. Enfin, ils n'ont pas allégué ni a fortiori établi qu'ils souffraient de problèmes de santé particuliers pour lesquels ils ne pourraient être soignés en Ukraine et qui seraient susceptibles de rendre leur renvoi inexécutable. L'ensemble de ces facteurs devrait ainsi leur permettre de se réinstaller dans leur pays sans y rencontrer d'excessives difficultés.</w:t>
      </w:r>
    </w:p>
    <w:p>
      <w:r>
        <w:rPr>
          <w:b/>
        </w:rPr>
        <w:t>E. 7.4.2</w:t>
      </w:r>
    </w:p>
    <w:p>
      <w:r>
        <w:t>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D-2144/2009 du 14 avril 2009, D-1469/2009 du 12 mars 2009 et D-5716/2006 du 30 janvier 2009 ; cf. également dans ce sens JICRA 1994 n° 18 consid. 4e p. 143).</w:t>
      </w:r>
    </w:p>
    <w:p>
      <w:r>
        <w:rPr>
          <w:b/>
        </w:rPr>
        <w:t>E. 7.4.3</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D-2144/2009 du 14 avril 2009, D-1469/2009 du 12 mars 2009 et D-5716/2006 du 30 janvier 2009 ; cf. également dans ce sens JICRA 2005 n° 24 consid. 10.1. p. 215, JICRA 2003 n° 24 consid. 5e p. 159),</w:t>
      </w:r>
    </w:p>
    <w:p>
      <w:r>
        <w:rPr>
          <w:b/>
        </w:rPr>
        <w:t>E. 7.4.4</w:t>
      </w:r>
    </w:p>
    <w:p>
      <w:r>
        <w:t>S'agissant des enfants des intéressés, le Tribunal retient qu'ils sont jeunes et apparemment en bonne santé. Ils sont arrivés en Suisse à l'âge d'environ (...) et (...) ans, de sorte qu'ils n'y ont pas vécu toute leur enfance. La durée de leur séjour en Suisse ne saurait par ailleurs être décisive par rapport au nombre d'années déjà vécues en Ukraine. Ainsi, en ce qui concerne l'aîné, lequel est d'ailleurs proche de la majorité, force est de relever que son intégration en Suisse n'est nullement démontrée, puisqu'il s'est vu en particulier résilier son contrat (...) en (...) pour faute grave. Quant au cadet, il est encore suffisamment jeune pour ne pas connaître de réels problèmes d'intégration lors de son retour, étant essentiellement rattaché à ses parents et à sa famille. En outre, il ne ressort pas du dossier qu'une intégration dans le système scolaire en vigueur en Ukraine constituerait pour ce dernier un effort insurmontable au vu de son âge actuel. Il ne ressort pas non plus du dossier que les fils des intéressés aient perdu l'ensemble de leurs racines avec l'Ukraine et le milieu socioculturel qui, à l'origine, est le leur. Dans ces conditions, il y a tout lieu de penser qu'en cas de retour dans ce pays, ils pourront y mener une existence conforme à la dignité humaine et qu'ils ne seront pas exposés à une précarité particulière, malgré les éventuelles difficultés de réintégration qu'ils pourront rencontrer dans un premier temps. Ils seront d'autant moins démunis qu'ils pourront compter sur un réseau familial et social sur place, comme relevé ci-auparavant.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7.4.5</w:t>
      </w:r>
    </w:p>
    <w:p>
      <w:r>
        <w:t>Compte tenu de ce qui précède, l'exécution du renvoi s'avère raisonnablement exigible.</w:t>
      </w:r>
    </w:p>
    <w:p>
      <w:r>
        <w:rPr>
          <w:b/>
        </w:rPr>
        <w:t>E. 7.5</w:t>
      </w:r>
    </w:p>
    <w:p>
      <w:r>
        <w:t>Dite exécution s'avère aussi possible (art. 44 al. 2 LAsi et art. 83 al. 2 LEtr). Les recourants sont en possession de passeports qui ne sont certes plus en cours de validité. Il leur incombe toutefois d'entreprendre toutes les démarches adéquates pour retourner dans leur pays d'origine (art. 8 al. 4 LAsi) et notamment pour se procurer les documents nécessaires à cet effet.</w:t>
      </w:r>
    </w:p>
    <w:p>
      <w:r>
        <w:rPr>
          <w:b/>
        </w:rPr>
        <w:t>E. 7.6</w:t>
      </w:r>
    </w:p>
    <w:p>
      <w:r>
        <w:t>Il s'ensuit que le recours, en tant qu'il porte sur l'exécution du renvoi, doit être rejeté et le dispositif de la décision entreprise également confirmé sur ce point.</w:t>
      </w:r>
    </w:p>
    <w:p>
      <w:r>
        <w:rPr>
          <w:b/>
        </w:rPr>
        <w:t>E. 8</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