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D-6515/2007 vom 30. Oktober 2007</w:t>
      </w:r>
    </w:p>
    <w:p>
      <w:r>
        <w:t>Bundesverwaltungsgericht, 2007-10-30, DE</w:t>
      </w:r>
    </w:p>
    <w:p>
      <w:r>
        <w:rPr>
          <w:b/>
        </w:rPr>
        <w:t xml:space="preserve">Quelle: </w:t>
      </w:r>
      <w:r>
        <w:t>https://mcp.opencaselaw.ch/entscheid/bvger_D-6515_2007</w:t>
      </w:r>
    </w:p>
    <w:p>
      <w:r>
        <w:t>FR: TAF D-6515/2007 du 30 octobre 2007</w:t>
      </w:r>
    </w:p>
    <w:p>
      <w:r>
        <w:t>IT: TAF D-6515/2007 del 30 ottobre 2007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 Verfahrenskosten sind durch den in gleicher Höhe geleisteten Kostenvorschuss gedeckt und werden mit diesem verrechnet.</w:t>
      </w:r>
    </w:p>
    <w:p>
      <w:r>
        <w:rPr>
          <w:b/>
        </w:rPr>
        <w:t>E. 3</w:t>
      </w:r>
    </w:p>
    <w:p>
      <w:r>
        <w:t>Dieses Urteil geht an: - den Rechtsvertreter des Beschwerdeführers (eingeschrieben; über eine Rückgabe der bei der Vorinstanz eingereichten Unterlagen befindet das BFM auf entsprechende Anfrage hin) - die Vorinstanz, Abteilung Aufenthalt und Rückkehrförderung, mit den Akten (Ref.-Nr. N_______) - (kantonale Behörde) Der vorsitzende Richter: Der Gerichtsschreiber: Thomas Wespi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