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D-6513/2025 vom 25. Juli 2025</w:t>
      </w:r>
    </w:p>
    <w:p>
      <w:r>
        <w:t>Bundesverwaltungsgericht, 2025-07-25, DE</w:t>
      </w:r>
    </w:p>
    <w:p>
      <w:r>
        <w:rPr>
          <w:b/>
        </w:rPr>
        <w:t xml:space="preserve">Quelle: </w:t>
      </w:r>
      <w:r>
        <w:t>https://mcp.opencaselaw.ch/entscheid/bvger_D-6513_2025_d20250725</w:t>
      </w:r>
    </w:p>
    <w:p>
      <w:r>
        <w:t>FR: TAF D-6513/2025 du 25 juillet 2025</w:t>
      </w:r>
    </w:p>
    <w:p>
      <w:r>
        <w:t>IT: TAF D-6513/2025 del 25 luglio 2025</w:t>
      </w:r>
    </w:p>
    <w:p>
      <w:pPr>
        <w:pStyle w:val="Heading2"/>
      </w:pPr>
      <w:r>
        <w:t>Regeste</w:t>
      </w:r>
    </w:p>
    <w:p>
      <w:r>
        <w:t>Asyl und Wegweisung | Asyl und Wegweisung; Verfügung des SEM vom 25. Juli 2025</w:t>
      </w:r>
    </w:p>
    <w:p>
      <w:pPr>
        <w:pStyle w:val="Heading2"/>
      </w:pPr>
      <w:r>
        <w:t>Erwägungen</w:t>
      </w:r>
    </w:p>
    <w:p>
      <w:r>
        <w:rPr>
          <w:b/>
        </w:rPr>
        <w:t>E. 1.1</w:t>
      </w:r>
    </w:p>
    <w:p>
      <w:r>
        <w:t>Gemäss Art. 31 VGG beurteilt das Bundesverwaltungsgericht Be- schwerden gegen Verfügungen nach Art. 5 VwVG. Das SEM gehört zu den</w:t>
      </w:r>
    </w:p>
    <w:p>
      <w:r>
        <w:t>D-6513/2025 Seite 5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 weshalb das Bundesverwaltungsgericht endgül- 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Sodann ging der verlangte Kostenvorschuss am 30. Oktober 2025 fristgerecht bei der Ge- richtskasse ein. Auf die Beschwerde ist daher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Da es sich vorliegend um eine solche handelt, ist das Urteil nur summarisch zu be- gründen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D-6513/2025 Seite 6 begründete Furcht haben, solchen Nachteilen ausgesetzt zu werden (Art. 3 Abs. 1 AsylG). Als ernsthafte Nachteile gelten die Gefährdung des Leibes, des Lebens oder der Freiheit sowie Massnahmen, die einen unerträglichen psychischen Druck bewirken, eine bestimmte Intensität aufweisen bezie- hungsweise die mit beachtlicher Wahrscheinlichkeit und in absehbarer Zu- kunft begründeterweise zu befürchten sind oder zugefügt zu werden dro- hen (vgl. BVGE 2011/51 E. 6.1 m.w.H.). Dabei genügt es nicht, dass diese Furcht lediglich mit Vorkommnissen oder Umständen, die sich früher oder später möglicherweise ereignen könnten, begründet wird. Es müssen hin- reichende Anhaltspunkte für eine konkrete Bedrohung vorhanden sein, die bei jedem Menschen in vergleichbarer Lage Furcht vor Verfolgung und den Entschluss zur Flucht hervorrufen würden (vgl. BVGE 2010/9 E. 5.2; Ent- scheidungen und Mitteilungen der Schweizerischen Asylrekurskommission [EMARK] 2004 Nr. 1 E. 6.a und 2005 Nr. 21 E. 7.1).</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 ablehnende Verfügung mit der fehlen- den Glaubhaftigkeit der geschilderten Verfolgung des Beschwerdeführers. Es sei zu bezweifeln, dass es lediglich aufgrund seiner Kandidatur bei den Wahlen 2020 zu einem solch massiven Überfall auf ihn gekommen sei. Überdies habe er die in Aussicht gestellten Medienberichte über diesen Vorfall, in denen er angeblich namentlich erwähnt worden sei, nie einge- reicht. Ebenfalls unglaubhaft sei seine Schilderung, dass erst zwei Jahre nach diesem Vorfall – und zwar gegen ihn und nicht gegen die Täter – ermittelt worden sein solle. Seine Darstellung, wonach seinem Anwalt in Sri Lanka keine behördlichen Auskünfte gegeben worden seien, erscheine ebenso fraglich wie der Umstand, dass Personen im Zusammenhang mit diesem Verfahren verschwunden sein sollen. Realitätsfremd erscheine fer- ner, dass er einzig wegen seiner Wahlkandidatur und aufgrund dieses Vor- falls im (...) gesucht worden sein solle. Er habe ausserdem keine Angaben zur Identität der Verfolger tätigen können. Insgesamt erschienen seine Schilderungen unsubstanziiert sowie äusserst pauschal und würden den Anforderungen an die Glaubhaftmachung im Sinne von Art. 7 AsylG nicht</w:t>
      </w:r>
    </w:p>
    <w:p>
      <w:r>
        <w:t>D-6513/2025 Seite 7 genügen. Die Furcht vor zukünftiger Verfolgung sei somit ebenfalls zu ver- neinen. Weder eine allfällige illegale Ausreise aus dem Heimatland und eine mögliche diesbezügliche Befragung bei der Einreise noch seine Kan- didatur für die Wahlen 2020 würden zur Annahme führen, dass er bei sei- ner Einreise flüchtlingsrechtlich relevanten Nachteilen ausgesetzt sein würde. Ausserdem gebe es zum aktuellen Zeitpunkt keinen Anlass zur An- nahme, dass ganze Volks- oder Berufsgruppen nach der Wahl des neuen Präsidenten Anura Kumara Dissanayake kollektiv einer Verfolgungsgefahr ausgesetzt seien.</w:t>
      </w:r>
    </w:p>
    <w:p>
      <w:r>
        <w:rPr>
          <w:b/>
        </w:rPr>
        <w:t>E. 5.2</w:t>
      </w:r>
    </w:p>
    <w:p>
      <w:r>
        <w:t>Der Beschwerdeführer entgegnete in seiner Beschwerde, dass er in Sri Lanka nachweislich für einen politischen Parteiposten kandidiert, an zahl- reichen Wahlkampagnen teilgenommen und dabei die sri-lankische Regie- rung öffentlichkeitswirksam kritisiert habe, weshalb er von den heimatli- chen Behörden verfolgt werde. Der zuständige Friedensrichter des Justice of Peace for the Whole Island und der Familienanwalt hätten in ihren Schreiben festgehalten, dass er im Zusammenhang mit seiner Kandidatur regelmässig belästigt sowie teilweise sogar mit dem Tod bedroht worden sei. Im selben Schreiben habe der Richter – eine unabhängige Person – bestätigt, dass nach wie vor eine Verfolgungsgefahr für ihn bestehe. Dem Schreiben des Ehemannes seiner Schwester sei zu entnehmen, dass sie beide ebenfalls das Land hätten verlassen müssen. Dem Vorhalt, wonach er den in Aussicht gestellten Medienbericht nicht eingereicht habe, sei zu entgegnen, dass der Bericht vom Radiosender «Sakthi FM» sowie vom Fernsehsender «News 1st TV» ausgestrahlt worden sei und sich das Be- schaffen dieses Berichts als schwierig erweise. Sofern das Gericht jedoch an diesem Vorfall im (...) zweifle, könne das Einholen des Berichts beim Fernsehsender beantragt werden. Er werde weiterhin durch die heimatli- chen Behörden unter Druck gesetzt, weil er sich öffentlich kritisch gegen- über der Regierung sowie der singhalesischen Bevölkerung geäussert habe und die Befürchtung nach weiteren politischen Aktivitäten bestehe. Ausserdem habe sein Anwalt glaubhaft bestätigt, dass sich die Polizei ge- weigert habe, eine Anzeige gegen unbekannt aufzunehmen und ihm ent- sprechende Auskünfte zu geben. Da die Behörden seinen Fall lediglich konstruiert hätten, liege auch keine schriftliche Vorladung vor. Vielmehr werde mit dem behördlichen Vorgehen verhindert, dass sein politischer Einfluss nach einer erfolgreichen Wahl ausgeweitet werde. Entgegen der Ansicht der Vorinstanz habe sich die Gefährdungssituation nicht beruhigt; der Friedensrichter habe in seinem Schreiben vom August 2025 seine ak- tuelle Gefährdung bestätigt. Schliesslich sei bezüglich der Glaubhaftig- keitsprüfung zu berücksichtigen, dass er sich verständlicherweise nach</w:t>
      </w:r>
    </w:p>
    <w:p>
      <w:r>
        <w:t>D-6513/2025 Seite 8 einiger Zeit nicht mehr an alle Details, wie etwa an genaue Daten, erinnern könne. Ausserdem habe eine ergänzende Anhörung wegen seiner kon- stanten Kopfschmerzen abgebrochen werden müssen; anlässlich einer weiteren habe er über ständigen Schwindel und Kopfschmerzen geklagt, was die Aussagequalität zusätzlich beeinträchtigt habe.</w:t>
      </w:r>
    </w:p>
    <w:p>
      <w:r>
        <w:rPr>
          <w:b/>
        </w:rPr>
        <w:t>E. 6.1</w:t>
      </w:r>
    </w:p>
    <w:p>
      <w:r>
        <w:t>Das Gericht kommt zum Schluss, dass die Vorinstanz in ihrer Verfü- gung mit überzeugender Begründung zur Erkenntnis gelangt ist, dass die Vorbringen des Beschwerdeführers den Anforderungen von Art. 7 AsylG an das Glaubhaftmachen eines asylbegründenden Sachverhalts und jenen von Art. 3 AsylG an die flüchtlingsrechtliche Beachtlichkeit nicht genügen. Hierzu ist auf die ausführliche Begründung der vorinstanzlichen Verfügung zu verweisen (vgl. SEM-Akte A35/10 S. 3-5). Zwar sind seine politischen Aktivitäten im Zusammenhang mit seiner Kandidatur 2020 nicht zu bezwei- feln. Hingegen erweisen sich seine Schilderungen zum Überfall vom 4. Juli 2020 als unsubstanziiert und es ist ihm nicht gelungen, konkrete Schilde- rungen zum Ablauf und insbesondere zu den am Übergriff beteiligten Per- sonen darzulegen. Ferner erscheint es nicht nachvollziehbar, weshalb die Behörden erst zwei Jahre nach dem behaupteten Überfall Ermittlungen eingeleitet und zudem ihn als Opfer beschuldigt haben sollen. Ebenfalls ist in diesem Zusammenhang kein Verfolgungsmotiv infolge politischen Enga- gements erkennbar, zumal er angegeben hat, sich nach dem Vorfall aus der Politik zurückgezogen zu haben. Ebenso unglaubhaft erweist sich der Umstand, dass er als Opfer aufgrund der gegen ihn gerichteten Todesdro- hungen und Bedrohungen mittels einer Waffe nicht persönlich Anzeige bei der Polizei erstattet hat. Aus den drei auf Beschwerdeebene eingereichten Schreiben, die alle erst im August 2025 verfasst wurden, vermag er nichts zu seinen Gunsten abzuleiten. Vielmehr sind diese als Gefälligkeitsschrei- ben ohne wesentlichen Beweiswert zu qualifizieren. Diese Einschätzung wird dadurch gestützt, als dass die inhaltlichen Angaben dieser Schreiben wesentlich von den Ausführungen des Beschwerdeführers während seiner Anhörungen abweichen. Seine Argumente, wonach er sich aufgrund Kopf- schmerzen und Schwindels während der ergänzenden Anhörung nicht hin- reichend auf die Fragen habe konzentrieren können, sind ungeeignet, die mangelnde Substanziiertheit seiner Schilderungen zu rechtfertigen und än- dern – auch bei Wahrunterstellung – nichts an der Einschätzung, dass es diesen Vorbringen an aktueller und hinreichender Intensität an eine flücht- lingsbeachtliche Verfolgung fehlt.</w:t>
      </w:r>
    </w:p>
    <w:p>
      <w:r>
        <w:t>D-6513/2025 Seite 9</w:t>
      </w:r>
    </w:p>
    <w:p>
      <w:r>
        <w:rPr>
          <w:b/>
        </w:rPr>
        <w:t>E. 6.2</w:t>
      </w:r>
    </w:p>
    <w:p>
      <w:r>
        <w:t>Das Bundesverwaltungsgericht kommt nach dem Gesagten zum Schluss, dass der Beschwerdeführer die Flüchtlingseigenschaft nicht er- füllt. Die Vorinstanz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(Art.44 AsylG).</w:t>
      </w:r>
    </w:p>
    <w:p>
      <w:r>
        <w:rPr>
          <w:b/>
        </w:rPr>
        <w:t>E. 7.2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ausländischen Person in den Heimat-, Herkunfts- oder einen Drittstaat entgegenstehen (Art. 83 Abs.3 AIG).</w:t>
      </w:r>
    </w:p>
    <w:p>
      <w:r>
        <w:rPr>
          <w:b/>
        </w:rPr>
        <w:t>E. 8.3.2</w:t>
      </w:r>
    </w:p>
    <w:p>
      <w:r>
        <w:t>Da der Beschwerdeführer die Flüchtlingseigenschaft nicht erfüllt, ist das flüchtlingsrechtliche Rückschiebungsverbot von Art. 33 Abs. 1 des Ab- kommens vom 28. Juli 1951 über die Rechtsstellung der Flüchtlinge (FK, SR 0.142.30) und Art. 5 AsylG – wie in der angefochtenen Verfügung zu- treffend bemerkt wurde – nicht anwendbar.</w:t>
      </w:r>
    </w:p>
    <w:p>
      <w:r>
        <w:rPr>
          <w:b/>
        </w:rPr>
        <w:t>E. 8.3.3</w:t>
      </w:r>
    </w:p>
    <w:p>
      <w:r>
        <w:t>Sodann ergeben sich weder aus den Aussagen des Beschwerdefüh- rers noch aus den Akten Anhaltspunkte dafür, dass er für den Fall einer Ausschaffung in den Heimatstaat dort mit beachtlicher Wahrscheinlichkeit</w:t>
      </w:r>
    </w:p>
    <w:p>
      <w:r>
        <w:t>D-6513/2025 Seite 10 einer nach Art. 3 EMRK oder Art. 1 FoK verbotenen Strafe oder Behand- lung ausgesetzt wäre. Gemäss der Praxis des Europäischen Gerichtshofes für Menschenrechte (EGMR) sowie jener des UN-Anti-Folterausschusses müsste er eine konkrete Gefahr im Sinne eines «real risk» nachweisen oder glaubhaft machen, dass ihm im Fall einer Rückschiebung Folter oder unmenschliche Behandlung drohen würde (vgl. Urteil des EGMR Saadi ge- gen Italien vom 28. Februar 2008, Grosse Kammer 37201/06, §§ 124−127 m.w.H.). Das ist ihm jedoch nicht gelungen. Ebenso wenig lassen konkrete Hinweise darauf schliessen, dass er bei einer Rückkehr aus einem euro- päischen Land nach Sri Lanka mit beachtlicher Wahrscheinlichkeit Mass- nahmen zu befürchten hätte, die über einen sogenannten «Background Check» (Befragung und Überprüfung von Tätigkeiten im In- und Ausland) hinausgehen würden (vgl. hierzu etwa das Urteil des BVGer D-6472/2019 vom 23. September 2024 E. 9.5.3 m.w.H.).</w:t>
      </w:r>
    </w:p>
    <w:p>
      <w:r>
        <w:rPr>
          <w:b/>
        </w:rPr>
        <w:t>E. 8.3.4</w:t>
      </w:r>
    </w:p>
    <w:p>
      <w:r>
        <w:t>Der Vollzug der Wegweisung erweist sich demnach als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Der bewaffnete Konflikt zwischen der sri-lankischen Regierung und den LTTE (Liberation Tigers of Tamil Eelam) ist im Mai 2009 zu Ende ge- gangen. Zurzeit herrscht in Sri Lanka weder Krieg noch eine Situation all- gemeiner Gewalt. Im September 2024 wurde Anura Kumara Dissanayake zum Präsidenten gewählt. Die Parlamentswahl von Mitte November 2024 beendete die Ära des umstrittenen Rajapaksa-Clans sowie des dem alten politischen Regime angehörigen Präsidenten Ranil Wickremesinghe. Aktu- ell ist noch nicht absehbar, wie sich die jüngsten Entwicklungen auf die politische und allgemeine Lage in Sri Lanka auswirken werden. Es ist aber nicht davon auszugehen, dass sich die allgemeine Situation für Rückkeh- rende tamilischer Ethnie durch den Regierungswechsel verschärft hätte.</w:t>
      </w:r>
    </w:p>
    <w:p>
      <w:r>
        <w:rPr>
          <w:b/>
        </w:rPr>
        <w:t>E. 8.4.3</w:t>
      </w:r>
    </w:p>
    <w:p>
      <w:r>
        <w:t>In den beiden Referenzurteilen E-1866/2015 vom 15. Juli 2016 und D-3619/2016 vom 16. Oktober 2017 kam das Bundesverwaltungsgericht zum Schluss, dass der Wegweisungsvollzug in die Nordprovinz und in die Ostprovinz unter Einschluss des Vanni-Gebiets zumutbar sei, wenn</w:t>
      </w:r>
    </w:p>
    <w:p>
      <w:r>
        <w:t>D-6513/2025 Seite 11 bestimmte individuelle Zumutbarkeitskriterien bejaht werden können. An dieser Einschätzung vermag die seit einiger Zeit in weiten Teilen Sri Lankas herrschende angespannte anhaltende Wirtschaftslage und Finanzkrise grundsätzlich nichts zu ändern, da diese Umstände die ganze sri-lankische Bevölkerung tangieren (vgl. Urteile des BVGer D-2920/2020 vom 27. Mai 2025 E. 8.3.1 m.w.H.; E-5862/2023 vom 25. März 2024 E. 7.3.2 sowie das Referenzurteil des BVGer E-737/2020 vom 27. Februar 2023 E. 10.2.5.1).</w:t>
      </w:r>
    </w:p>
    <w:p>
      <w:r>
        <w:rPr>
          <w:b/>
        </w:rPr>
        <w:t>E. 8.4.4</w:t>
      </w:r>
    </w:p>
    <w:p>
      <w:r>
        <w:t>Der Beschwerdeführer gab an, bis zu seiner Ausreise im September 2022 in der Ostprovinz in D._______ mit seiner Mutter sowie seinen unver- heirateten Geschwistern im familieneigenen Wohnhaus gelebt zu haben. Die Familie sei im Besitz weiterer Ländereien und er sei Eigentümer der Hälfte eines grossen Stücks Land. Weiter bezeichnete er die finanzielle Si- tuation der Familie als gut (vgl. SEM-Akte A14/13 F6-10, F20, F37). Zu- sammen mit seinem Schulabschluss des A-Levels, der anschliessend ab- solvierten Ausbildung im Bereich (...) sowie in (...) und der mehrjährigen Berufserfahrung als (...) und Geschäftsführer im familieneigenen (...) wird ihm eine erneute berufliche und finanzielle Reintegration nicht schwerfallen (vgl. SEM-Akte A14/13 F12-21). Vor diesem Hintergrund ist davon auszu- gehen, dass er bei einer Rückkehr nach Sri Lanka auf ein funktionierendes familiäres und soziales Netzwerk wird zurückgreifen können, das ihm bei Bedarf auch hilfreich zur Seite stehen wird. Da auch seine Wohnsituation als gesichert erscheint, ist insgesamt nicht davon auszugehen, dass er nach seiner Rückkehr in eine existenzielle Notlage geraten würde.</w:t>
      </w:r>
    </w:p>
    <w:p>
      <w:r>
        <w:rPr>
          <w:b/>
        </w:rPr>
        <w:t>E. 8.4.5</w:t>
      </w:r>
    </w:p>
    <w:p>
      <w:r>
        <w:t>Auch aus medizinischer Sicht erweist sich der Vollzug der Wegwei- sung nach Sri Lanka als zumutbar. Den Akten lässt sich nicht entnehmen, dass der Beschwerdeführer zum aktuellen Zeitpunkt auf eine medizinische Behandlung – eine (...) wurde letztmals am 25. Februar 2025 verordnet – oder auf die Einnahme von Medikamenten angewiesen wäre. Die im Rah- men seiner Anhörungen geltend gemachten Beschwerden – namentlich (...), seit etwa Juni 2024 bestehende (...) sowie (...) (vgl. SEM-Akten A14/13 F63–65; A29/5 F10–14; A33/15 F4–9) – begründen keine medizinische Notlage im Sinne der einschlägigen Rechtsprechung des Bundesverwal- tungsgerichts (vgl. BVGE 2011/50 E. 8.3 und 2009/2 E. 9.3.2 je m.w.H.). Auch eine allenfalls erforderliche psychologische Therapie ändert an der Zumutbarkeit des Wegweisungsvollzugs nichts, zumal auch in Sri Lanka gängige psychiatrisch-psychologische Behandlungen verfügbar sind (vgl. dazu Urteil des BVGer E-2426/2020 vom 5. Juni 2024 E. 13.3.4.2, S. 30).</w:t>
      </w:r>
    </w:p>
    <w:p>
      <w:r>
        <w:t>D-6513/2025 Seite 12</w:t>
      </w:r>
    </w:p>
    <w:p>
      <w:r>
        <w:rPr>
          <w:b/>
        </w:rPr>
        <w:t>E. 8.4.6</w:t>
      </w:r>
    </w:p>
    <w:p>
      <w:r>
        <w:t>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der rechtserhebliche Sachverhalt richtig sowie vollständig feststellt (Art. 106 Abs. 1 AsylG; Art. 49 VwVG) und – soweit überprüfbar – angemessen ist. Die Beschwerde ist somit abzuweisen.</w:t>
      </w:r>
    </w:p>
    <w:p>
      <w:r>
        <w:rPr>
          <w:b/>
        </w:rPr>
        <w:t>E. 10</w:t>
      </w:r>
    </w:p>
    <w:p>
      <w:r>
        <w:t>Bei diesem Ausgang des Verfahrens sind die Kosten von Fr. 750.– dem Beschwerdeführer aufzuerlegen (Art. 1–3 des Reglements vom 21. Feb- ruar 2008 über die Kosten und Entschädigungen vor dem Bundesverwal- tungsgericht [VGKE; SR 173.320.2]; Art. 63 Abs. 1 VwVG). Der am 30. Ok- tober 2025 in gleicher Höhe geleistete Kostenvorschuss wird zur Bezah- lung der Verfahrenskosten verwendet. (Dispositiv nächste Seite)</w:t>
      </w:r>
    </w:p>
    <w:p>
      <w:r>
        <w:t>D-6513/2025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