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D-6511/2015 vom 27. Juli 2017</w:t>
      </w:r>
    </w:p>
    <w:p>
      <w:r>
        <w:t>Bundesverwaltungsgericht, 2017-07-27, DE</w:t>
      </w:r>
    </w:p>
    <w:p>
      <w:r>
        <w:rPr>
          <w:b/>
        </w:rPr>
        <w:t xml:space="preserve">Quelle: </w:t>
      </w:r>
      <w:r>
        <w:t>https://mcp.opencaselaw.ch/entscheid/bvger_D-6511_2015</w:t>
      </w:r>
    </w:p>
    <w:p>
      <w:r>
        <w:t>FR: TAF D-6511/2015 du 27 juillet 2017</w:t>
      </w:r>
    </w:p>
    <w:p>
      <w:r>
        <w:t>IT: TAF D-6511/2015 del 27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 antragstellende Person, die in einem anderen Mitgliedstaat einen Antrag gestellt hat, nach Massgabe der Art. 23, 24, 25 und 29 Dublin-III-VO wieder aufzunehmen (Art. 18 Abs. 1 Bst. b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4.6</w:t>
      </w:r>
    </w:p>
    <w:p>
      <w:r>
        <w:t>Ein Abgleich der Fingerabdrücke des Beschwerdeführers mit der "Eurodac"-Datenbank ergab, dass dieser am 4. Juli 2015 in Ungarn um Asyl ersucht hatte. Die ungarischen Behörden liessen das Übernahmeersuchen innert der in Art. 25 Abs. 1 Dublin-III-VO vorgesehenen Frist unbeantwortet, womit sie die Zuständigkeit Ungarns implizit anerkannten (Art. 25 Abs. 2 Dublin-III-VO). Damit ist die grundsätzliche Zuständigkeit Ungarns gegeben, was auch seitens des Beschwerdeführers nicht bestritten wurde.</w:t>
      </w:r>
    </w:p>
    <w:p>
      <w:r>
        <w:rPr>
          <w:b/>
        </w:rPr>
        <w:t>E. 5.1</w:t>
      </w:r>
    </w:p>
    <w:p>
      <w:r>
        <w:t>Im Lichte von Art. 3 Abs. 2 Dublin-III-VO ist weiter zu prüfen, ob es wesentliche Gründe für die Annahme gibt, das Asylverfahren und die Aufnahmebedingungen für Asylsuchende in Ungarn würden systemische Schwachstellen aufweisen, die eine Gefahr einer unmenschlichen oder entwürdigenden Behandlung im Sinne von Art. 4 EU-Grundrechtecharta mit sich bringen und welche die grundsätzliche Zuständigkeit Ungarns im Sinne von Art. 3 Abs. 1 Dublin-III-VO durchbrechen würden.</w:t>
      </w:r>
    </w:p>
    <w:p>
      <w:r>
        <w:rPr>
          <w:b/>
        </w:rPr>
        <w:t>E. 5.2</w:t>
      </w:r>
    </w:p>
    <w:p>
      <w:r>
        <w:t>Das Bundesverwaltungsgericht hat im Urteil D-7853/2015 vom 31. Mai 2017 (als Referenzurteil publiziert)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5.3</w:t>
      </w:r>
    </w:p>
    <w:p>
      <w:r>
        <w:t>Mit derselben Begründung, wie sie vorstehend dargelegt wurde, ist es dem Gericht vorliegend nicht möglich, die Sache abschliessend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6</w:t>
      </w:r>
    </w:p>
    <w:p>
      <w:r>
        <w:t>Die Beschwerde ist somit gutzuheissen, soweit die Aufhebung der vorinstanzlichen Verfügung beantragt wurde.</w:t>
      </w:r>
    </w:p>
    <w:p>
      <w:r>
        <w:rPr>
          <w:b/>
        </w:rPr>
        <w:t>E. 7.1</w:t>
      </w:r>
    </w:p>
    <w:p>
      <w:r>
        <w:t>Bei diesem Ausgang des Verfahrens sind keine Kosten zu erheben (Art. 63 Abs. 1 und 2 VwVG). Die Gesuche um Gewährung der unentgeltlichen Prozessführung und um Verzicht auf die Erhebung eines Kostenvorschusses werden gegenstandslos.</w:t>
      </w:r>
    </w:p>
    <w:p>
      <w:r>
        <w:rPr>
          <w:b/>
        </w:rPr>
        <w:t>E. 7.2</w:t>
      </w:r>
    </w:p>
    <w:p>
      <w:r>
        <w:t>Nachdem der Beschwerdeführer mit seinem Begehren um Aufhebung der angefochtenen Verfügung durchgedrungen ist, ist ihm zulasten der Vor-instanz eine Parteientschädigung für die ihm notwendigerweise erwachsenen Kosten zuzusprechen (Art. 64 Abs. 1 VwVG; Art. 7 ff. des Reglements über die Kosten und Entschädigungen vor dem Bundesverwaltungsgericht vom 21. Februar 2008 [VGKE, SR 173.320.2]). Der Rechtsvertreter reichte keine Kostennote ein. Auf die Nachforderung einer solchen wird verzichtet, da sich der Aufwand zuverlässig abschätzen lässt (Art. 14 Abs. 2 VGKE). Unter Berücksichtigung der in Betracht zu ziehenden Bemessungsfaktoren (Art. 9-13 VGKE) ist dem Beschwerdeführer zulasten des SEM eine Parteientschädigung von insgesamt Fr. 800.- zuzusprechen. Das Gesuch um Gewährung der unentgeltlichen Rechtsverbeiständung wird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