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D-650/2024 vom 17. Februar 2025</w:t>
      </w:r>
    </w:p>
    <w:p>
      <w:r>
        <w:t>Bundesverwaltungsgericht, 2025-02-17, DE</w:t>
      </w:r>
    </w:p>
    <w:p>
      <w:r>
        <w:rPr>
          <w:b/>
        </w:rPr>
        <w:t xml:space="preserve">Quelle: </w:t>
      </w:r>
      <w:r>
        <w:t>https://mcp.opencaselaw.ch/entscheid/bvger_D-650_2024</w:t>
      </w:r>
    </w:p>
    <w:p>
      <w:r>
        <w:t>FR: TAF D-650/2024 du 17 février 2025</w:t>
      </w:r>
    </w:p>
    <w:p>
      <w:r>
        <w:t>IT: TAF D-650/2024 del 17 febbraio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D-650/2024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verweist zur Begründung ihres Entscheids auf die vom Bundesverwaltungsgericht definierten Personengruppen, welche einem erhöhten Verfolgungsrisiko ausgesetzt seien, betont gleichzeitig aber, dass ein entsprechendes Risikoprofil nicht ausreiche, sondern es zusätzlicher risikoschärfender Elemente bedürfe, um eine Furcht vor flüchtlingsrechtlich relevanter Verfolgung zu begründen. Auch wenn der Beschwerdeführer in der Arbaki-Miliz gedient habe, sei er weder besonders exponiert gewesen, noch komme seiner Person eine grössere Bedeutung für die Taliban zu, da er seine Tätigkeit vor dem Sturz der afghanischen Regierung niedergelegt habe. Die Taliban hätten keine Anstrengungen unternommen, den Beschwerdeführer ausfindig zu ma- chen und zudem verfüge dieser auch nicht über ein besonderes politisches Profil, welches ihn als Gegner der Taliban definiere. Aus diesen Gründen seien im Fall des Beschwerdeführers keine risikoschärfenden Elemente gegeben, so die Vorinstanz. Es sei folglich auch nicht davon auszugehen, dass mit beachtlicher Wahrscheinlichkeit und in absehbarer Zukunft der Beschwerdeführer bei einer Rückkehr nach Afghanistan flüchtlingsrechtlich relevanter Verfolgungsmassnahmen ausgesetzt werden würde, weshalb er die Flüchtlingseigenschaft nicht erfülle und das Asylgesuch demnach ab- zulehnen sei.</w:t>
      </w:r>
    </w:p>
    <w:p>
      <w:r>
        <w:rPr>
          <w:b/>
        </w:rPr>
        <w:t>E. 4.2</w:t>
      </w:r>
    </w:p>
    <w:p>
      <w:r>
        <w:t>Dem wird in der Beschwerde im Wesentlichen entgegengehalten, die Tatsache, dass der Beschwerdeführer seine Tätigkeit vor dem Sturz der Regierung niedergelegt habe, bedeute nicht, dass dieser nicht exponiert sei. Es sei allgemein bekannt, dass die Taliban auch Menschen verfolgen, die kurz vor dem Sturz der Regierung die Waffen niedergelegt hätten. Zu- dem bestehe zwischen dem Vorrücken der Taliban und der Niederlage der Tätigkeit als Arbaki ein Kausalzusammenhang. Ferner wird ein Bericht von Human Rights Watch erwähnt, auf welchen auch in einem Bericht der Vorinstanz betreffend potentielle Risikoprofile bei</w:t>
      </w:r>
    </w:p>
    <w:p>
      <w:r>
        <w:t>D-650/2024 Seite 7 der Verfolgung durch die Taliban verwiesen werde und in welchem Ange- hörige der Arbaki ausdrücklich als besonders gefährdet aufgeführt würden. Die Tätigkeit des Vaters des Beschwerdeführers als Arbaki sowie die Tat- sache, dass weitere Familienangehörige für die Regierung gearbeitet hät- ten, würden zudem zu einem erhöhten Verfolgungsinteresse am Be- schwerdeführer führen. Es stimme ferner nicht, dass die Taliban sich nicht darum bemüht hätten, ihn ausfindig zu machen. So habe er bereits wäh- rend seiner Anhörung ausgeführt und in seiner Stellungnahme nochmals wiederholt, dass die Taliban den Cousin des Vaters kontaktiert hätten, um ihn und seinen Bruder dazu zu drängen, sich zu ergeben. Die Familie sei zudem nach seiner Flucht aus Afghanistan immer wieder aufgesucht und bedroht worden. Zum Eventualbegehren der Rückweisung an die Vorinstanz wird schliess- lich ausgeführt, der Sachverhalt sei von der Vorinstanz unrichtig und un- vollständig festgestellt worden. So sei ignoriert worden, dass der Be- schwerdeführer während zehn Jahren als Soldat tätig gewesen sei und da- bei gegen die Taliban gekämpft habe. Ferner sei nicht genügend beachtet worden, wie die in Afghanistan verbliebenen (weiblichen) Familienmitglie- der des Beschwerdeführers von den Taliban behandelt würden und insbe- sondere ungenügend beachtet worden, dass es sich hierbei um Frauen handle. Dass die Familie von Kabul in ihr Heimatdorf zurückgezogen sei, könne ihr schliesslich nicht entgegengehalten werden, da die Familie aus finanziellen Gründen hierzu gezwungen worden sei. Als Beweismittel wurden eine Abschlussbestätigung der militärischen Grundausbildung sowie Fotos des Beschwerdeführers an seinem Posten eingereicht.</w:t>
      </w:r>
    </w:p>
    <w:p>
      <w:r>
        <w:rPr>
          <w:b/>
        </w:rPr>
        <w:t>E. 5</w:t>
      </w:r>
    </w:p>
    <w:p>
      <w:r>
        <w:t>In der Beschwerde wird im Sinne eines Eventualbegehrens die Rückwei- sung der Sache an die Vorinstanz zur weiteren Sachverhaltsabklärung be- antragt. Dabei wird aber insbesondere eine falsche Würdigung des glaub- haft gemachten Sachverhaltes geltend gemacht, weshalb darauf im Rah- men der nachfolgenden materiellen Würdigung näher einzugehen ist.</w:t>
      </w:r>
    </w:p>
    <w:p>
      <w:r>
        <w:rPr>
          <w:b/>
        </w:rPr>
        <w:t>E. 6.1</w:t>
      </w:r>
    </w:p>
    <w:p>
      <w:r>
        <w:t>Das Bundesverwaltungsgericht stellt vorab fest, dass die Vorinstanz die Vorbringen des Beschwerdeführers ausschliesslich auf ihre flüchtlings-</w:t>
      </w:r>
    </w:p>
    <w:p>
      <w:r>
        <w:t>D-650/2024 Seite 8 rechtliche Relevanz gemäss Art. 3 AsylG geprüft hat und keine Zweifel an der Glaubhaftigkeit der Vorbringen des Beschwerdeführers geäussert hat.</w:t>
      </w:r>
    </w:p>
    <w:p>
      <w:r>
        <w:rPr>
          <w:b/>
        </w:rPr>
        <w:t>E. 6.2</w:t>
      </w:r>
    </w:p>
    <w:p>
      <w:r>
        <w:t>Auch das Bundesverwaltungsgericht geht aufgrund der substantiierten und mit Beweismitteln unterlegten Vorbringen des Beschwerdeführers, welche keine relevanten Widersprüche aufweisen, von der Glaubhaftigkeit der wesentlichen Vorbringen des Beschwerdeführers aus.</w:t>
      </w:r>
    </w:p>
    <w:p>
      <w:r>
        <w:rPr>
          <w:b/>
        </w:rPr>
        <w:t>E. 7.1</w:t>
      </w:r>
    </w:p>
    <w:p>
      <w:r>
        <w:t>Im Folgenden ist zu prüfen, ob der Beschwerdeführer angesichts des geltend gemachten Sachverhalts im Zeitpunkt der Ausreise begründete Furcht vor Verfolgung hatte und ob eine solche gegebenenfalls auch aktu- ell noch objektiv begründet wäre (vgl. Art. 3 AsylG).</w:t>
      </w:r>
    </w:p>
    <w:p>
      <w:r>
        <w:rPr>
          <w:b/>
        </w:rPr>
        <w:t>E. 7.2</w:t>
      </w:r>
    </w:p>
    <w:p>
      <w:r>
        <w:t>Der Beschwerdeführer führt seine Furcht vor Verfolgung im Wesentli- chen auf seine über zehnjährige Tätigkeit bei den Arbaki zurück. Damit ist zunächst ein Blick auf die Institution der Arbaki zu werfen. Die Arbaki Mili- zen sind ein Sicherheitssystem auf Gemeindeebene. Das damalige Euro- päische Unterstützungsbüro für Asylfragen (EASO) erläutert in seinem Be- richt vom September 2016, dass Milizgruppen, die oftmals auf Seite der Regierung gegen Aufständische kämpfen würden, als Arbakai (Plural: Ar- baki) bezeichnet würden. Ursprünglich beruhte das Konzept Arbakai auf dem Stammesrecht der Paschtunen, dem Paschtunwali. Arbaki würden die Rolle der Polizei innerhalb des Stammes, des Sub-Stammes oder in Ge- meindegebieten übernehmen. Arbakai sei ein System zur Kontrolle der Ge- meinschaft basierend auf dem Stamm, das auf freiwilligen Basisinitiativen beruhe. Arbaki würden sich von Milizmitgliedern oder Angestellten von pri- vaten Sicherheitsfirmen unterscheiden. Sie hätten grössere Unterstützung und seien in die Gemeinde eingebettet. EASO verweist insbesondere auf die Aussagen von Mohammed Osman Tariq, der in seinem Bericht zum Konzept Arbakai einen Stammesältesten zitiert. Nach dessen Auskunft handle es sich bei den Arbakai um eine Gruppe von freiwilligen Erwachse- nen, die mittels eines besonderen Verfahrens ausgewählt würden und die Verantwortung für die Umsetzung der Entscheidungen der Dschirga (Stam- mesversammlung) hätten. Sie sicherten das Territorium des Stammes oder der Gemeinde und würden Massnahmen gegen jene ergreifen, die illegale Handlungen begehen wollten. Die zeitgenössische Verwendung des Be- griffs Arbakai leite sich von ihrer ursprünglichen Bedeutung ab. Heute werde das Wort für alle Arten der semi-offiziellen oder nicht-offiziellen Mi- lizgruppen insbesondere im Norden Afghanistans verwendet (vgl. zum Ganzen BVGer-Urteil D-1965/2019 vom 15. Oktober 2021 E. 6.2.1).</w:t>
      </w:r>
    </w:p>
    <w:p>
      <w:r>
        <w:t>D-650/2024 Seite 9</w:t>
      </w:r>
    </w:p>
    <w:p>
      <w:r>
        <w:rPr>
          <w:b/>
        </w:rPr>
        <w:t>E. 7.3</w:t>
      </w:r>
    </w:p>
    <w:p>
      <w:r>
        <w:t>Das Bundesverwaltungsgericht hat wiederholt festgestellt, dass ge- wisse Personengruppen in Afghanistan aufgrund ihrer Exponiertheit einem erhöhten Verfolgungsrisiko ausgesetzt sind. Dazu gehören Personen, die der, inzwischen gestürzten, Regierung oder internationalen Gemeinschaft inklusive deren Streitkräfte nahestanden oder als Unterstützer derselben wahrgenommen werden sowie westlich orientierte oder der afghanischen Gesellschaftsordnung aus anderen Gründen nicht entsprechenden Perso- nen. Einem besonderen Risiko sind gemäss verschiedenen Quellen Per- sonen ausgesetzt, die eng mit dem Militär zusammenarbeiteten. Diese sind besonders gefährdet, weil extremistisch oder fanatisch eingestellte Grup- pierungen – insbesondere die Taliban – Muslime, welche für die nach ihrer Meinung ungläubigen Besatzer im Land arbeiteten, als Verräter betrach- ten, die es hart zu bestrafen gelte (vgl. beispielsweise die Urteile des BVGer E-2318/2023 vom 16. Mai 2023 E. 6.2, D-1965/2019 vom 15. Ok- tober 2021 E. 7.2; E-4907/2019 vom 26. März 2020 E. 5.3.2 und E-2802/2014 vom 15. Januar 2015 E. 5.3.3; vgl. auch European Union Agency for Asylum [EUAA], Country Guidance: Afghanistan, May 2024, S. 28 ff., &lt;https://euaa.europa.eu/publications/country-guidance-afghani- stan-may-2024&gt;). Human Rights Watch nennt insbesondere auch Mitglie- der der Milizen und Paramilitärs wie beispielsweise der Arbaki-Miliz als be- sonders gefährdete Personen (Human Rights Watch, No forgiveness for people like you, 2021, S. 9-11, &lt;https://www.hrw.org/sites/default/files/me- dia_2021/11/afghanistan1121_web.pdf&gt;, beide abgerufen am 04.02.2025). Dies wird auch von der Vorinstanz im Bericht Focus Afgha- nistan so wiedergegeben (vgl. SEM, Focus Afghanistan – Verfolgung durch Taliban: Potenzielle Risikoprofile, 15. Februar 2022, S. 15, &lt;https://www.sem.admin.ch/sem/de/home/international-rueckkehr/her- kunftslaender.html&gt;, abgerufen am 04.02.2025). Das erhöhte Risikoprofil der Arbaki-Miliz ergibt sich unter anderem zusätzlich dadurch, dass deren Mitglieder vorwiegend lokal operierten und sie deshalb von den Taliban leicht zu identifizieren und Racheakte verbreitete sein dürften (vgl. BVGer- Urteile D-1681/2022 vom 20. Oktober 2022 E. 3.4.1 und E-1638/2017 vom 2. April 2020 E. 5.3).</w:t>
      </w:r>
    </w:p>
    <w:p>
      <w:r>
        <w:rPr>
          <w:b/>
        </w:rPr>
        <w:t>E. 7.4</w:t>
      </w:r>
    </w:p>
    <w:p>
      <w:r>
        <w:t>Der Beschwerdeführer war, wie sein Vater, seit Abschluss der militäri- schen Grundausbildung während über zehn Jahren für die Arbaki-Miliz in seinem Dorf tätig. Er war im Umgang mit Waffen ausgebildet, hat auf dem dafür vorgesehenen Posten in seinem Dorf das Dorf vor den Taliban be- schützt und war auch an Gefechten mit den Taliban beteiligt, welche To- desfälle oder Verhaftungen von Taliban mit sich führten. Nach Einschät- zung des Gerichts gehört der Beschwerdeführer im Lichte der gerichtlichen</w:t>
      </w:r>
    </w:p>
    <w:p>
      <w:r>
        <w:t>D-650/2024 Seite 10 Rechtsprechung sowie oben zitierter Berichte somit zu einer Personen- gruppe, welche aufgrund ihrer Exponiertheit in Afghanistan einem beson- deren Verfolgungsrisiko ausgesetzt waren und weiterhin sind.</w:t>
      </w:r>
    </w:p>
    <w:p>
      <w:r>
        <w:rPr>
          <w:b/>
        </w:rPr>
        <w:t>E. 7.5</w:t>
      </w:r>
    </w:p>
    <w:p>
      <w:r>
        <w:t>Von anderen Unterstützern des vormaligen Regimes hebt er sich dadurch ab, dass er persönlich für den Tod von Talibankämpfern verant- wortlich ist. Seine Aktivitäten dürfen sodann aufgrund des lokalen Charak- ters als den Taliban bekannt vorausgesetzt werden. Er macht ferner gel- tend, dass es im Rahmen seiner Tätigkeit zur Verhaftung von zwei Mitglie- dern der Taliban gekommen sei, woraus eine besonders ausgeprägte Feindschaft dem Beschwerdeführer gegenüber entstanden sei. Dies habe unmittelbar nach der Machtübernahme zu Hausdurchsuchungen, um den Beschwerdeführer zu finden, geführt. Gemäss seinen Ausführungen seien zudem Todesdrohungen gegenüber ihm und seinen Bruder ausgespro- chen worden, als die Taliban in Erfahrung gebracht hätten, dass sich die Brüder in Kabul befinden würden.</w:t>
      </w:r>
    </w:p>
    <w:p>
      <w:r>
        <w:rPr>
          <w:b/>
        </w:rPr>
        <w:t>E. 7.6</w:t>
      </w:r>
    </w:p>
    <w:p>
      <w:r>
        <w:t>Das Gericht erachtet die Furcht des Beschwerdeführers vor Bestra- fungsaktionen und Racheakten durch die Taliban aufgrund dieser Sach- lage für den Zeitpunkt der Ausreise und auch aktuell als objektiv und sub- jektiv begründet. Daran vermag entgegen den Erwägungen des SEM of- fensichtlich auch nichts zu ändern, dass er kurz vor der Machtübernahme seinen Posten verlassen hatte und nach Kabul geflohen ist. Dies ändert am Risikoprofil des Beschwerdeführers nichts, weil er zweifellos dennoch als aktiver Unterstützer der damaligen Regierung wahrgenommen wird. Zwar kam es zwischenzeitlich zu Amnestien, diese können aber für den vorliegenden Fall aufgrund des geschärften Risikoprofils nicht genügend Sicherheit bieten. Insbesondere die Beteiligung an Tötungen von Taliban- Angehörigen und die persönliche Feindschaft zu zwei Personen bezie- hungsweise die Verantwortung bezüglich deren Verhaftung lassen eine Gefährdung nach wie vor als wahrscheinlich erscheinen. Ob es sich bei den persönlichen Feinden heute tatsächlich um ranghohe Taliban handelt, kann dabei angesichts des regionalen Charakters seiner Tätigkeit offen- bleiben. Daran vermag auch nichts zu ändern, dass ein Teil der Familie aufgrund der herrschenden Notlage zurück ins Heimatdorf gezogen ist, zu- mal es sich dabei einzig um Frauen handelt, die selber offensichtlich nicht in die Kampfhandlungen involviert waren.</w:t>
      </w:r>
    </w:p>
    <w:p>
      <w:r>
        <w:rPr>
          <w:b/>
        </w:rPr>
        <w:t>E. 7.7</w:t>
      </w:r>
    </w:p>
    <w:p>
      <w:r>
        <w:t>Entgegen den Ausführungen der Vorinstanz geht das Gericht diesen Erwägungen gemäss durchaus von einer besonderen Exponiertheit des Beschwerdeführers und damit von einer objektiv begründeten Furcht vor</w:t>
      </w:r>
    </w:p>
    <w:p>
      <w:r>
        <w:t>D-650/2024 Seite 11 ernsthaften Nachteilen aus. Die entsprechenden Nachteile drohen auf- grund eines asylrechtlich relevanten Profils, da er als politischer Gegner der Taliban bestraft werden soll. Von einer genügend sicheren innerstaatli- chen Fluchtalternative ist vorliegend angesichts der umfassenden Macht der Taliban ebenfalls nicht auszugehen. Nach dem Gesagten ist festzustel- len, dass der Beschwerdeführer die Flüchtlingseigenschaft im Sinne von Art. 3 AsylG erfüllt.</w:t>
      </w:r>
    </w:p>
    <w:p>
      <w:r>
        <w:rPr>
          <w:b/>
        </w:rPr>
        <w:t>E. 8.1</w:t>
      </w:r>
    </w:p>
    <w:p>
      <w:r>
        <w:t>Gemäss Art. 2 Abs. 1 AsylG gewährt die Schweiz Flüchtlingen grund- sätzlich Asyl. Flüchtlingen wird aber unter anderem dann kein Asyl ge- währt, wenn sie wegen verwerflicher Handlungen des Asyls unwürdig sind (Art. 53 Bst. a AsylG) oder die innere oder äussere Sicherheit der Schweiz verletzt haben oder gefährden (Art. 53 Bst. b AsylG).</w:t>
      </w:r>
    </w:p>
    <w:p>
      <w:r>
        <w:rPr>
          <w:b/>
        </w:rPr>
        <w:t>E. 8.2</w:t>
      </w:r>
    </w:p>
    <w:p>
      <w:r>
        <w:t>Angesichts der Ausführungen des Beschwerdeführers zu seinen Tätig- keiten als Arbaki aber auch zu deren Verhalten allgemein stellt sich vorlie- gend jedoch die Frage einer Asylunwürdigkeit gemäss Art. 53 Bst. a AsylG (vgl. dazu Urteile des Bundesverwaltungsgerichts D-3669/2016 vom 24. Oktober 2018 E. 4.2.3 sowie D-1965/2019 vom 15. Oktober 2021 E. 7.5). Das SEM musste sich angesichts der von ihm angenommenen feh- lenden Asylrelevanz der Asylvorbringen dazu nicht äussern. Die Be- schwerde enthält ebenfalls keine entsprechenden Ausführungen. Damit ergibt sich, dass der Beschwerdeführer zwar die Flüchtlingseigenschaft er- füllt, die Frage der Asylgewährung indessen noch nicht entschieden wer- den kann. Diesbezüglich ist die Angelegenheit an die Vorinstanz zur Prü- fung zurückzuweisen, ansonsten dem Beschwerdeführer eine Prüfungs- instanz verloren ginge.</w:t>
      </w:r>
    </w:p>
    <w:p>
      <w:r>
        <w:rPr>
          <w:b/>
        </w:rPr>
        <w:t>E. 8.3</w:t>
      </w:r>
    </w:p>
    <w:p>
      <w:r>
        <w:t>Die Beschwerde ist somit gutzuheissen und die angefochtene Verfü- gung vom 19. Januar 2024 ist aufzuheben. Die Flüchtlingseigenschaft des Beschwerdeführers ist anzuerkennen und das SEM ist anzuweisen, die Frage der Asylgewährung unter dem Blickwinkel einer allfälligen Asylun- würdigkeit zu prüfen.</w:t>
      </w:r>
    </w:p>
    <w:p>
      <w:r>
        <w:rPr>
          <w:b/>
        </w:rPr>
        <w:t>E. 9.1</w:t>
      </w:r>
    </w:p>
    <w:p>
      <w:r>
        <w:t>Bei diesem Ausgang des Verfahrens sind keine Kosten zu erheben (Art. 63 Abs. 1 und 2 VwVG).</w:t>
      </w:r>
    </w:p>
    <w:p>
      <w:r>
        <w:rPr>
          <w:b/>
        </w:rPr>
        <w:t>E. 9.2</w:t>
      </w:r>
    </w:p>
    <w:p>
      <w:r>
        <w:t>Dem vertretenen Beschwerdeführer ist keine Parteientschädigung aus- zurichten, da es sich vorliegend um eine zugewiesene unentgeltliche</w:t>
      </w:r>
    </w:p>
    <w:p>
      <w:r>
        <w:t>D-650/2024 Seite 12 Rechtsvertretung im Sinne von Art. 102h AsylG handelt, deren Leistungen vom Bund nach Massgabe von Art. 102k AsylG entschädigt werden (vgl. auch Art. 111ater AsylG).</w:t>
      </w:r>
    </w:p>
    <w:p>
      <w:r>
        <w:t>(Dispositiv nächste Seite)</w:t>
      </w:r>
    </w:p>
    <w:p>
      <w:r>
        <w:t>D-650/2024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