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D-6507/2010 vom 21. Dezember 2011</w:t>
      </w:r>
    </w:p>
    <w:p>
      <w:r>
        <w:t>Bundesverwaltungsgericht, 2011-12-21, DE</w:t>
      </w:r>
    </w:p>
    <w:p>
      <w:r>
        <w:rPr>
          <w:b/>
        </w:rPr>
        <w:t xml:space="preserve">Quelle: </w:t>
      </w:r>
      <w:r>
        <w:t>https://mcp.opencaselaw.ch/entscheid/bvger_D-6507_2010</w:t>
      </w:r>
    </w:p>
    <w:p>
      <w:r>
        <w:t>FR: TAF D-6507/2010 du 21 décembre 2011</w:t>
      </w:r>
    </w:p>
    <w:p>
      <w:r>
        <w:t>IT: TAF D-6507/2010 del 21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Aus den Akten geht keine Datenweitergabe des BFM an die heimatlichen Behör­den des Beschwerdeführers im Sinne von Art. 97 Abs. 3 Bstn. a-g AsylG hervor, weshalb sich der Antrag auf Offenlegung in einer separaten Verfügung als gegenstandslos erweist.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4.3</w:t>
      </w:r>
    </w:p>
    <w:p>
      <w:r>
        <w:t>Der Sachverhalt ist vorliegend hinreichend erstellt. Die beantragte er­neute Anhörung des Beschwerdeführers (als Zeuge in eigener Sache) erüb­rigt sich demnach. Entgegen den Beschwerdevorbringen ging die Vorin­stanz bei der Prüfung der Glaubhaftigkeit der Vorbringen sodann nicht von zu strengen Anforderungen aus; vielmehr legte sie in detaillier­ten Erwägungen dar, weshalb die Kernvorbringen als nicht glaubhaft er­scheinen, und hielt fest, es entstehe der Eindruck, dass der Beschwerdefüh­rer das geltend Gemachte gar nicht persönlich erlebt habe. Diese Einschätzung ist gemäss nachfolgenden Erwägungen zu bestä­tigen. Das BFM hat unter Hinweis auf Seitenzahlen des Befragungs- und des Anhörungsprotokolls die aus seiner Sicht beste­hende Unglaubhaf­tigkeit des Vorgebrachten festgehalten und ist so auch der Be­gründungspflicht hinreichend nachgekommen. Die beantragte Rückwei­sung der Sache an die Vorinstanz kommt mithin nicht in Betracht.</w:t>
      </w:r>
    </w:p>
    <w:p>
      <w:r>
        <w:rPr>
          <w:b/>
        </w:rPr>
        <w:t>E. 5.1</w:t>
      </w:r>
    </w:p>
    <w:p>
      <w:r>
        <w:t>Die Vorinstanz hat die Glaubhaftigkeit der Kernvorbringen des Be­schwerde­führers verneint. Diese Sichtweise vermag im Ergebnis zu über­zeugen. Eine Durchsicht der Aussagen des Beschwerdeführers ergibt das Bild einer in wesentlichen Punkten konstruiert wirkenden Schilderung. Ein­zelne etwas substanziiertere Passagen vermögen entgegen der Argu­mentationsweise der Rechtsvertretung darüber nicht hinwegzutäuschen. So sind gewisse Informationen im Zusammenhang mit B._______ auch im Internet abrufbar, weshalb allein aufgrund der Nen­nung solcher Belange anlässlich der Anhörung nicht bereits das Bild einer wegen journalistischer Tätigkeit verfolgten Person entsteht. Im Weiteren mag zutreffen, dass der Beschwerdeführer - obwohl gemäss eigenen Anga­ben nicht dazu ausgebildet (A 1/9 S. 2) - in einem gewissen Aus­mass im Medienbereich aktiv war. Im Zusammenhang mit seinem geltend gemachten Engagement für einen Fernsehsender machte er indes keine damit verbundene Gefährdung geltend, weshalb auf diese allfälligen Aktivi­täten nicht näher einzugehen ist (A 11/18 Antwort 166). Seine ge­mäss Beschwerdevorbringen regelmässig stattfindende Zusammenarbeit mit C._______ respektive B._______ und die angeblichen Konsequenzen sind in der geltend gemachten Form indes mit erheblichen Zweifeln be­lastet. Vorab fällt auf, dass er bei der Anhörung vom 7. Mai 2009 angab, "bis jetzt" für die Zeitung gearbeitet zu haben. Zu einem späteren Zeit­punkt legte er aber dar, seit Januar 2007 nicht mehr für dieses Blatt tätig ge­wesen zu sein (A 11/18 Antworten 27 und 167). Überdies gab er an, ins­gesamt lediglich dreimal für die Zeitung aktiv gewesen zu sein (A 11/18 Antwort 172). Die angeblichen Drohungen am Telefon seit November 2008 wegen der im Januar 2007 übergebenen Akte schilderte er weitge­hend substanzlos und ohne Realkennzeichen; auch die Aussagen zum Überfall vom _______ 2009 wirken stereotyp (A 11/18 Antworten 92 ff. und 152 ff.). Im Zusammenhang mit den angeblichen telefonischen Drohun­gen fällt überdies auf, dass er bei der Summarbefragung erwähnte, manch­mal habe diese auch seine Ehefrau entgegengenommen. Bei der An­hörung wiederholte er diese Aussagen zuerst, vermittelte aber auf Nach­fragen den Eindruck, selber nie mit einem Anrufer in Kontakt gestan­den zu sein (A 1/9 S. 4; A 11/18 Antworten 93 ff., 103, 107 und 110). Entge­gen den sehr spekulativen Beschwerdevorbringen ist sodann nicht nachvollziehbar, wie die Unbekannten ausgerechnet den in der Zeitung nicht publizistisch in Erscheinung tretenden Beschwerdeführer als Informan­ten hätten ausfindig machen können. Die Erklärung in der Rechts­schrift, aufgrund der Eingangskontrollen im _______ seines Bru­ders seien diese fündig geworden, erscheint schon insofern sehr frag­lich, als er kaum als einziger Besucher kontrolliert worden sein dürfte. Selbst in der Annahme, der Beschwerdeführer sei als angeblicher Infor­mant tatsächlich aufgeflogen, wäre im Sinne der vorinstanzlichen Erwägun­gen und entgegen den wenig stichhaltigen Beschwerdevorbrin­gen in keiner Weise ersichtlich, weshalb erst beinahe zwei Jahre nach Er­scheinen des Artikels gegen ihn vorgegangen worden sein sollte. Auffal­lend ist ferner, dass er im Rahmen der Summarbefragung den Bruder bei der angeblichen Informationsbeschaffung noch nicht erwähnt hatte. In der Beschwerde wird zwar mit einer gewissen Berechtigung darauf hingewie­sen, dass der Beschwerdeführer gemäss Übersetzung bereits anlässlich der Summarbefragung nie explizit aussagte, selber Artikel, sondern ledig­lich Berichte verfasst zu haben. Allerdings könnte es sich dabei auch um eine sprachliche Nuancierung ohne realen Hintergrund handeln. Unerklär­bar bleibt aber jedenfalls, weshalb er nicht bereits bei der Erstbefra­gung darauf hinwies, seine Berichte seien nur Grundlagen für Arti­kel gewesen, und durch diese Auslassung den Eindruck erweckte, als Autor aufgetreten zu sein (A 1/9 S. 4 f.). Insbesondere ist auch nicht nach­vollziehbar, weshalb er C._______ bei der Erstbefragung noch nicht als Ver­fasser von Artikeln erwähnte, obwohl diese Artikel ja (auch) gestützt auf seine angeblichen Recherchen zustande gekommen sein sollen. Im Rahmen der Anhörung bezog er sich zwar wiederholt auf C._______, wies aber erst am Schluss der Befragung auf die Tatsache hin, dass dieser _______ worden ist (A 11/19 Antworten 130, 187 und 200). Dies ist umso befremdlicher, als er für sich eine ähnliche Ge­fährdung geltend machte und ein Hinweis auf das Schicksal von C._______ be­reits im Zusammenhang mit den angeblichen Verfolgungsvorbringen nahe gelegen hätte. Schliesslich geht aus den Aussagen des Beschwerde­führers hervor, dass gegen C._______ ein Verfahren im Zusammen­hang mit der von ihm beschafften Akte respektive dem Artikel eingeleitet und ein Verhandlungstermin angesetzt worden sei. Er selber sei indes nicht vorgeladen worden. Da die ihn angeblich bedrohenden Unbe­kannten, welche um seine Identität wissen sollen, mutmasslich der "Regierungsseite" zuzuordnen seien (A 1/9 S. 4), ist demnach umso weni­ger nachvollziehbar, weshalb nicht auch er im entsprechenden Verfahren belangt worden wäre, falls er tatsächlich in der geltend gemachten Form mit C._______ zusammengearbeitet hätte.</w:t>
      </w:r>
    </w:p>
    <w:p>
      <w:r>
        <w:rPr>
          <w:b/>
        </w:rPr>
        <w:t>E. 5.2.1</w:t>
      </w:r>
    </w:p>
    <w:p>
      <w:r>
        <w:t>Die eingereichten Beweismittel rechtfertigen keine andere Einschät­zung. Die Polizeidokumente belegen - wie das BFM im Ent­scheid und in der Vernehmlassung zurecht festhält - lediglich ergangene Anzeigen, ohne Hinweise auf deren Berechtigung zu enthalten. Hinsicht­lich des Vorfalls vom _______ 2009 ist im Übrigen festzuhalten, dass ein An­griff auf den Beschwerdeführer zwar stattgefunden haben könnte, aber nicht im Zusammenhang mit seinen für unglaubhaft erachteten Vorbrin­gen. Bezüglich der ihn nicht persönlich betreffenden Beweismittel ist auf Fol­gendes hinzuweisen: Das Bundesverwaltungs­gericht hat sich im zur Pub­likation vorgesehenen BVGE E-6220/2006 vom 27. Oktober 2011 einge­hend mit der Situation in Sri Lanka befasst und seine Praxis aktuali­siert. Es kam zum Schluss, dass sich die Situation vor Ort insgesamt verbes­sert habe, wobei es aber zahlrei­che Einschränkungen formulierte. Oppositionelle müssten nach wie vor mit Verfolgung rechnen. Es gebe ver­schiedene Risikogruppen. Dar­unter fielen Personen, welche auch nach Beendigung des Krie­ges ver­dächtigt würden, mit den LTTE in Verbin­dung zu stehen beziehungs­weise gestanden zu sein. Auch unabhän­gige Journalisten beziehungs­weise regierungskritische Medien­schaffende hätten ein erhöhtes Risikopro­fil. Im Weiteren sei bei Opfern und Zeugen von Menschenrechts­verletzungen und Personen, die entspre­chende Über­griffe behördlich angezeigt hätten, mit erhöhter Verfol­gungsgefahr zu rech­nen. Ausserdem liefen abgewiesene tamilische Asylsuchende aus der Schweiz unter Umständen Gefahr, bei der Rück­kehr behördlich be­langt zu werden, weil ihnen Kontakte zu führenden LTTE-Kadern in der Schweiz unterstellt würden. Wegen drohender Erpres­sung, Kidnapping und anderen Verfolgungshandlungen bildeten schliesslich Personen, welche über be­trächtliche finanzielle Mittel verfüg­ten, eine weitere Risikogruppe (a.a.O. insb. E. 8.).</w:t>
      </w:r>
    </w:p>
    <w:p>
      <w:r>
        <w:rPr>
          <w:b/>
        </w:rPr>
        <w:t>E. 5.2.2</w:t>
      </w:r>
    </w:p>
    <w:p>
      <w:r>
        <w:t>Dem Beschwerdeführer ist es nach dem Gesagten nicht gelungen, ein regimekritisches und öffentlich bekanntes journalistisches Profil glaub­haft zu machen. Im Weiteren machte er nicht geltend, Bezüge zur LTTE ge­habt zu haben. Eine besonders günstige finanzielle Situation ist eben­falls nicht ersichtlich. Vor diesem Hintergrund weist er kein Persönlichkeits­profil, welches aktuell im Heimat­land mit beachtlicher Wahr­scheinlichkeit zu einer relevanten Gefährdung füh­ren könnte, auf. Auch aufgrund seiner langen Landesabwesenheit re­spektive des Aufent­halts in der Schweiz ist in Anbetracht der Fallum­stände nicht auf eine ent­sprechende Gefährdung bei der Rückkehr zu schliessen.</w:t>
      </w:r>
    </w:p>
    <w:p>
      <w:r>
        <w:rPr>
          <w:b/>
        </w:rPr>
        <w:t>E. 5.3</w:t>
      </w:r>
    </w:p>
    <w:p>
      <w:r>
        <w:t>Unter Berücksichtigung der gesamten Umstände folgt, dass der Be­schwerdeführer keine Gründe nach Art. 3 AsylG nachweisen oder glaub­haft machen konnte. Die Vorinstanz hat die Flüchtlingseigen­schaft dem­nach zu Recht verneint und das Asylgesuch abgelehnt. An dieser Einschät­zung vermögen weder die weiteren Ausführungen in der Eingabe noch die beigelegten Beweismittel etwas zu ändern. Es erübrigt sich dem­nach, auf weitere, vom BFM festgehaltene und vom Beschwerdefüh­rer bestrittene Ungereimtheiten - so namentlich auch im Zusammenhang mit seinen Aufenthaltsorten in _______, allfälligen weiteren Unstimmigkei­ten im Aussageverhalten beziehungsweise der angeblichen Vorgehensweise der srilankischen Polizei - näher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ge­mäss vorstehenden Erwägungen nicht gelungen. Auch die allgemeine Men­schenrechtssituation in Sri Lanka lässt den Wegweisungsvollzug zum heutigen Zeitpunkt nicht als generell unzulässig erscheinen. Dies ergibt sich unter anderem aus dem bereits zitierten BVGE E-6220/2006 vom 27. Oktober 2011 (vgl. E. 10.4. am Ende).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obenstehend erwähnten Urteil kommt das Bundesverwal­tungsge­richt mit Einschränkungen zum Schluss, die Menschenrechts- und Sicherheitslage habe sich seit dem Ende des bewaffneten Konflikts er­heblich verbessert. Die Lage präsentiere sich indes nicht in allen Lan­desteilen gleich. Ein Vollzug der Wegweisung in die Ostprovinz sei grund­sätzlich zumutbar. Auch der Vollzug in die Nordprovinz sei unter gewissen Voraussetzungen zumutbar. Eine Ausnahme bilde das Vanni-Gebiet. Ein Vollzug dorthin sei weiterhin unzumutbar. Für Personen, die aus dem übri­gen Staatsgebiet Sri Lankas _______ stammten, sei der Vollzug grundsätzlich zumutbar (E. 12. und 13).</w:t>
      </w:r>
    </w:p>
    <w:p>
      <w:r>
        <w:rPr>
          <w:b/>
        </w:rPr>
        <w:t>E. 7.4.2</w:t>
      </w:r>
    </w:p>
    <w:p>
      <w:r>
        <w:t>Der Beschwerdeführer lebte vor der Ausreise während längerer Zeit in _______. Er verfügt über eine gute Schulbildung und Arbeitserfah­rung in verschiedenen Bereichen. Seine Familie hält sich vor Ort auf. Entge­gen den Be­schwerdevorbringen ist demnach nicht davon auszuge­hen, dass er nach der Rückkehr nach _______ in eine existenzgefähr­dende Situation geraten wird.</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wären die Kosten grund­sätzlich dem Beschwerdeführer aufzuerlegen (Art. 63 Abs. 1 VwVG). Da das Ge­such im Sinne von Art. 65 Abs. 1 VwVG mit Zwischenverfügung vom 17. September 2010 gutgeheissen wurde, ist von der Kostenauflage abzuse­hen.</w:t>
      </w:r>
    </w:p>
    <w:p>
      <w:r>
        <w:rPr>
          <w:b/>
        </w:rPr>
        <w:t>E. 9.2</w:t>
      </w:r>
    </w:p>
    <w:p>
      <w:r>
        <w:t>Die Entrichtung einer Parteientschädigung kommt bei dieser Sach­lage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