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D-6504/2016 vom 3. November 2016</w:t>
      </w:r>
    </w:p>
    <w:p>
      <w:r>
        <w:t>Bundesverwaltungsgericht, 2016-11-03, DE</w:t>
      </w:r>
    </w:p>
    <w:p>
      <w:r>
        <w:rPr>
          <w:b/>
        </w:rPr>
        <w:t xml:space="preserve">Quelle: </w:t>
      </w:r>
      <w:r>
        <w:t>https://mcp.opencaselaw.ch/entscheid/bvger_D-6504_2016</w:t>
      </w:r>
    </w:p>
    <w:p>
      <w:r>
        <w:t>FR: TAF D-6504/2016 du 3 novembre 2016</w:t>
      </w:r>
    </w:p>
    <w:p>
      <w:r>
        <w:t>IT: TAF D-6504/2016 del 3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zur Begründung seiner Beschwerdebegehren im Wesentlichen geltend, die entstandenen Widersprüche seien auf Missverständnisse oder auf Mängel bei der BzP zurückzuführen. Er sei als minderjährige Person anlässlich der BzP nervös und gestresst gewesen. Von ihm vorgebrachte Details seien damals nicht protokolliert, sein Redefluss stattdessen gestoppt worden. Dies habe bei ihm für Verwirrung und Unsicherheit gesorgt. Dementsprechend seien Details verloren gegangen, und es sei schwierig geworden, sich zu konzentrieren, da er nicht mehr gewusst habe, was er erzählen dürfe und was nicht. Nach dem Gesagten handle es sich bei den von der Vorinstanz festgestellten Unstimmigkeiten nicht um Widersprüche, sondern um Missverständnisse. Des Weiteren leide er an Depressionen, Ängsten sowie an einer posttraumatischen Belastungsstörung. In seiner Heimat könne er nicht medizinisch behandelt werden, einerseits mangels geeigneter Therapien, andererseits mangels geeigneter Therapeuten. Zudem gebe es dort kein Krankenversicherungssystem, und alle Behandlungskosten müssten selbst getragen werden. Ausserdem habe er als Scheidungskind in seiner Heimat kein soziales Umfeld mehr und keine engen familiären Verhältnisse.</w:t>
      </w:r>
    </w:p>
    <w:p>
      <w:r>
        <w:rPr>
          <w:b/>
        </w:rPr>
        <w:t>E. 5.2</w:t>
      </w:r>
    </w:p>
    <w:p>
      <w:r>
        <w:t>Diese Vorbringen in der Beschwerdeschrift sind nicht geeignet, zu einer veränderten Betrachtungsweise zu führen, zumal die Überlegungen, mit denen der Beschwerdeführer die von der Vorinstanz angeführten Unstimmigkeiten ausräumen will, auch nicht ansatzweise nachvollziehbar sind. So gibt es beispielsweise den vom Beschwerdeführer bemühten Zusammenhang zwischen der angeblich lückenhaften Protokollierung, dem befragungsbedingten Stress und den von der Vorinstanz festgestellten Unstimmigkeiten in Wirklichkeit nicht. Beide Protokolle wurden dem Beschwerdeführer nach Abschluss der Befragung beziehungsweise Anhörung in eine ihm verständliche Sprache zurückübersetzt. Dementsprechend hätte er im Rahmen der Rückübersetzung Gelegenheit gehabt, diejenigen Details, welche seiner Meinung nach nicht protokolliert wurden, nachträglich einfügen zu lassen. Da er dies unterlassen hat, muss er sich bei seinen Erklärungen, wie sie in die Protokolle Eingang gefunden haben, behaften lassen. Wie den entsprechenden Protokollen zu entnehmen ist, hat sich der Beschwerdeführer zu zahlreichen und wesentlichen Aspekten der geltend gemachten Verfolgungssituation diametral widersprüchlich geäussert. Beispielsweise machte er anlässlich der BzP ausdrücklich geltend, er sei wegen der Entführung nicht bei der Polizei gewesen (vgl. A8/11 Ziff. 7.02 S. 7), während er demgegenüber anlässlich der Direktanhörung das Gegenteil behauptete (vgl. A26/29 F78 S. 11, F90 ff. S. 13). Dementsprechend drängt sich zur Erklärung derartiger Unstimmigkeiten zwangsläufig der Schluss auf, der Beschwerdeführer konnte bei seinen Schilderungen der angeblichen Verfolgungssituation nicht auf Erinnerungen an tatsächliche Begebenheiten zurückgreifen und hat stattdessen eine Verfolgungssituation vollumfänglich erfunden. Bei dieser Sachlage erübrigt es sich, auf weitere Unstimmigkeiten einzugehen. Zur Vermeidung von Wiederholungen kann stattdessen an dieser Stelle auf die zutreffenden Erwägungen in der angefochtenen Verfügung verwiesen werden.</w:t>
      </w:r>
    </w:p>
    <w:p>
      <w:r>
        <w:rPr>
          <w:b/>
        </w:rPr>
        <w:t>E. 5.3</w:t>
      </w:r>
    </w:p>
    <w:p>
      <w:r>
        <w:t>Unter Berücksichtigung der gesamten Umstände folgt, dass der Beschwerdeführer keine Gründe nach Art. 3 AsylG nachweisen oder glaubhaft machen konnte. Das SEM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für Migration das Anwesenheitsverhältnis nach den gesetzlichen Bestimmungen über die vorläufige Aufnahme (Art. 44 AsylG; Art. 83 Abs. 1 AuG [SR 142.20]).</w:t>
      </w:r>
    </w:p>
    <w:p>
      <w:r>
        <w:rPr>
          <w:b/>
        </w:rPr>
        <w:t>E. 7.2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Das SEM führte in seinen Erwägungen zur Zulässigkeit des Wegweisungsvollzugs in zutreffender Weise aus, der in Art. 5 AsylG verankerte Grundsatz der Nichtrückschiebung finde vorliegend mangels Erfüllung der Flüchtlingseigenschaft keine Anwendung und es ergäben sich keine Anhaltspunkte für eine sich aus Art. 3 EMRK ergebende Unzulässigkeit des Wegweisungsvollzugs. Es sind zudem auch keine anderweitigen völkerrechtlichen Vollzugshindernisse erkennbar, womit der Vollzug der Wegweisung als zulässig zu qualifizieren ist.</w:t>
      </w:r>
    </w:p>
    <w:p>
      <w:r>
        <w:rPr>
          <w:b/>
        </w:rPr>
        <w:t>E. 7.4</w:t>
      </w:r>
    </w:p>
    <w:p>
      <w:r>
        <w:t>Gemäss Rechtsprechung des Gerichts herrscht in der ARK keine Situation allgemeiner Gewalt im Sinne von Art. 83 Abs. 4 AuG und es liegen keine konkreten Anhaltspunkte für die Annahme vor, dies werde sich in absehbarer Zeit massgeblich verändern. Der Wegweisungsvollzug gilt für aus dieser Region stammende Kurden weiterhin als zumutbar, sofern begünstigende individuelle Faktoren - insbesondere ein tragfähiges familiäres Beziehungsnetzes - vorliegen (vgl. Urteil des Bundesverwaltungsgerichts vom 14. Dezember 2015 E-3737/2015 E. 7.4 mit Verweis auf BVGE 2008/5, als Referenzurteil publiziert). Diese Rechtsprechung ist in naher Vergangenheit in mehreren Urteilen des Bundesverwaltungsgerichts umgesetzt und bekräftigt worden (vgl. D-4824/2016 vom 16. August 2016, E-4108/2016 vom 4. August 2016). Der Beschwerdeführer ist kurdischer Ethnie und aufgrund der Akten kann geschlossen werden, dass er seit Geburt und insbesondere vor seiner Ausreise in N._______ lebte; er kann dort nach wie vor auf ein Beziehungsnetz zurückgreifen. So leben dort seine Mutter - vermutlich auch sein Vater - sowie ein Bruder und eine Schwester. Vor seiner Ausreise lebte der Beschwerdeführer gemeinsam mit seiner Mutter und den Geschwistern in einem Haus. Er arbeitete bis kurz vor seiner Ausreise als Automechaniker, verfügt aber auch über Arbeitserfahrung als Tagelöhner, Zimmermann und Geflügelhändler. Anstatt weiterhin in einer allenfalls emotional belastenden Untätigkeit zu verweilen, kann er derlei Aktivitäten nach der Rückkehr in den Heimatstaat umgehend wieder aufnehmen und damit seinen Lebensunterhalt verdienen. Auch die ihm attestierte posttraumatische Belastungsstörung kann er im Heimatstaat ärztlich behandeln lassen, was ihm insofern von zusätzlichem Nutzen wäre, als er dort keinen Anlass haben dürfte, einem Arzt Verfolgungsgeschichten ohne hinreichenden Realitätsbezug zu unterbreiten (siehe in diesem Zusammenhang auch BVGE 2015/11 E. 7.2.2). Es ist davon auszugehen, dass er auch Zugang zur allenfalls erforderlichen Therapie haben wird, hat er doch die Möglichkeit, in der Schweiz ein Gesuch um Gewährung medizinischer Rückkehrhilfe zu stellen. Somit liegen bei dem aus der ARK stammenden Beschwerdeführer kurdischer Ethnie individuell begünstigende individuelle Faktoren vor. Der Wegweisungsvollzug erweist sich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Urteil in der Hauptsache ist das Gesuch um Verzicht auf die Erhebung eines Kostenvorschusses gegenstandslos geworden.</w:t>
      </w:r>
    </w:p>
    <w:p>
      <w:r>
        <w:rPr>
          <w:b/>
        </w:rPr>
        <w:t>E. 9.2</w:t>
      </w:r>
    </w:p>
    <w:p>
      <w:r>
        <w:t>Aufgrund der vorstehenden Erwägungen ergibt sich, dass sich die Begehren des Beschwerdeführers als aussichtslos erwiesen haben. Damit ist eine der kumulativ zu erfüllenden Voraussetzungen für die Gewährung der unentgeltlichen Rechtspflege nach Art. 65 Abs. 1 VwVG nicht erfüllt und der entsprechende Antrag ist abzuweisen.</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