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D-6500/2016 vom 31. Oktober 2016</w:t>
      </w:r>
    </w:p>
    <w:p>
      <w:r>
        <w:t>Bundesverwaltungsgericht, 2016-10-31, DE</w:t>
      </w:r>
    </w:p>
    <w:p>
      <w:r>
        <w:rPr>
          <w:b/>
        </w:rPr>
        <w:t xml:space="preserve">Quelle: </w:t>
      </w:r>
      <w:r>
        <w:t>https://mcp.opencaselaw.ch/entscheid/bvger_D-6500_2016</w:t>
      </w:r>
    </w:p>
    <w:p>
      <w:r>
        <w:t>FR: TAF D-6500/2016 du 31 octobre 2016</w:t>
      </w:r>
    </w:p>
    <w:p>
      <w:r>
        <w:t>IT: TAF D-6500/2016 del 31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(sinngemässen) Beschwerdeanträge sowie die Beschwerdebegründung sind aufgrund der Aktenlage als abschliessend zu erkennen, weshalb über die Beschwerde trotz noch laufender Beschwerdefrist entschieden werden kann (vgl. Entscheidungen und Mitteilungen der [vormaligen] Schweizerischen Asylrekurskommission [EMARK] 1997 Nr. 13).</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Auf die Durchführung eines Schriftenwechsels wurde gestützt auf Art. 111a Abs. 1 AsylG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w:t>
      </w:r>
    </w:p>
    <w:p>
      <w:r>
        <w:rPr>
          <w:b/>
        </w:rPr>
        <w:t>E. 4.3</w:t>
      </w:r>
    </w:p>
    <w:p>
      <w:r>
        <w:t>Die Flüchtlingseigenschaft erfüllt eine asylsuchende Person dann, wenn sie Nachteile von bestimmter Intensität erlitten hat beziehungsweise mit beachtlicher Wahrscheinlichkeit und in absehbarer Zukunft begründeterweise befürchten muss, welche ihr gezielt und aus einem der vom Gesetz aufgezählten Verfolgungsmotive zugefügt worden sind respektive zugefügt zu werden drohen (vgl. BVGE 2008/4 E. 5.2). Eine bloss entfernte Möglichkeit künftiger Verfolgung genügt nicht, vielmehr müssen konkrete Indizien vorliegen, welche den Eintritt der erwarteten und aus einem der vom Gesetz aufgezählten Motive erfolgenden Benachteiligung als wahrscheinlich und dementsprechend die Furcht davor als realistisch und nachvollziehbar erscheinen lassen (vgl. BVGE 2010/57 E. 2.5, 2010/44 E. 3.4). Massgeblich für die Beurteilung der Flüchtlingseigenschaft ist die Situation im Zeitpunkt des Asylentscheids (vgl. BVGE 2008/4 E. 5.4). Aufgrund der Subsidiarität des flüchtlingsrechtlichen Schutzes setzt die Anerkennung der Flüchtlingseigenschaft voraus, dass die betroffene Person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Bürger eingreifen kann (vgl. zu dieser sogenannten Schutztheorie BVGE 2011/51 E. 7.1-7.4, 2008/12 E. 7.2.6.2, 2008/4 E. 5.2).</w:t>
      </w:r>
    </w:p>
    <w:p>
      <w:r>
        <w:rPr>
          <w:b/>
        </w:rPr>
        <w:t>E. 5.1</w:t>
      </w:r>
    </w:p>
    <w:p>
      <w:r>
        <w:t>Vorab ist festzustellen, dass es sich vorliegend nicht um ein Dublin-Verfahren handelt und somit nicht eine Wegweisung des Beschwerdeführers nach Italien zu prüfen ist. Auf die Beschwerdevorbringen bezüglich einer Gefährdung des Beschwerdeführers in Italien ist daher nicht weiter einzugehen. Vorliegend ist vielmehr zu prüfen, ob dem Beschwerdeführer in seinem Heimatland Marokko eine asylrechtlich relevante Verfolgung droht.</w:t>
      </w:r>
    </w:p>
    <w:p>
      <w:r>
        <w:rPr>
          <w:b/>
        </w:rPr>
        <w:t>E. 5.2</w:t>
      </w:r>
    </w:p>
    <w:p>
      <w:r>
        <w:t>Das SEM erachtete die Vorbringen des Beschwerdeführers bezüglich seiner Gefährdung in Marokko als den Anforderungen an die Flüchtlingseigenschaft gemäss Art. 3 AsylG nicht genügend. Dieser Einschätzung ist beizupflichten. Zur Vermeidung von Wiederholungen kann auf die nicht zu beanstandenden Ausführungen in der angefochtenen Verfügung verwiesen werden. Der Rechtsmitteleingabe vom 21. Oktober 2016 sind keine stichhaltigen Entgegnungen zu entnehmen, die geeignet wären, eine Änderung der angefochtenen Verfügung hinsichtlich der Flüchtlingseigenschaft und des Asyls (sowie des Vollzugs der Wegweisung nach Marokko) herbeizuführen. Der Beschwerdeführer machte geltend, er werde in Marokko von privaten Drittpersonen gesucht, nachdem ihn ein Marokkaner in Italien wegen Geldschulden verprügelt habe und dieser deswegen von den italienischen Behörden strafrechtlich belangt worden sei. Ungeachtet der Frage der Glaubhaftigkeit der Vorbringen des Beschwerdeführers und des Fehlens von Hinweisen auf ein Verfolgungsmotiv gemäss Art. 3 Abs. 1 AsylG, hat das SEM zutreffend festgestellt, dass Marokko über eine funktionierende Infrastruktur zur Ahndung von Verfolgungshandlungen verfügt und grundsätzlich von der Schutzfähigkeit und dem Schutzwillen der dortigen Behörden im Sinne der in E. 4.3 umschriebenen Schutztheorie auszugehen ist. Mit dem pauschalen Einwand, die marokkanische Polizei würde nur gegen Geld aktiv werden (vgl. A30 S. 8 F65), vermag der Beschwerdeführer weder darzulegen, ihm wäre der Zugang zu den zuständigen staatlichen Organen versperrt, noch die Schutzfähigkeit und -willigkeit der heimatlichen Behörden generell in Frage zu stellen. Den Akten lassen sich keine konkreten Hinweise für die Annahme entnehmen, die heimatlichen Behörden würden dem Beschwerdeführer bei Bedarf den erforderlichen Schutz verweigern, zumal auch keine Hinweise vorliegen, dass ihm die Hilfe aus einem der in Art. 3 AsylG genannten Gründe verweigert würde. Der geltend gemachten Gefahr vor Nachstellungen seitens privater Drittpersonen kommt daher keine asylrechtliche Relevanz zu. Mit den vorgebrachten wirtschaftlichen Schwierigkeiten vermag der Beschwerdeführer die Flüchtlingseigenschaft gemäss Art. 3 AsylG ebenfalls nicht zu erfüllen.</w:t>
      </w:r>
    </w:p>
    <w:p>
      <w:r>
        <w:rPr>
          <w:b/>
        </w:rPr>
        <w:t>E. 5.3</w:t>
      </w:r>
    </w:p>
    <w:p>
      <w:r>
        <w:t>Dem Beschwerdeführer ist es damit nicht gelungen, die Flüchtlingseigenschaft gemäss Art. 3 AsylG nachzuweisen oder zumindest glaubhaft zu machen. Das SEM hat das Asylgesuch zu Recht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besteht kein konkreter Anlass zur Annahme, dem Beschwerdeführer würde bei einer Rückkehr nach Marokko eine menschenrechtswidrige Behandlung drohen, zumal es ihm nicht gelungen ist, eine asylrechtlich beachtliche Verfolgung darzulegen. Auch die allgemeine Menschenrechtssituation in Marokko lässt den Wegweisungsvollzug nicht als unzulässig erscheinen.</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Marokko herrscht weder Krieg noch eine landesweite Situation allgemeiner Gewalt. Der Wegweisungsvollzug ist daher generell zumutbar.</w:t>
      </w:r>
    </w:p>
    <w:p>
      <w:r>
        <w:rPr>
          <w:b/>
        </w:rPr>
        <w:t>E. 7.3.2</w:t>
      </w:r>
    </w:p>
    <w:p>
      <w:r>
        <w:t>Den Akten lassen sich auch keine konkreten Anhaltspunkte dafür entnehmen, dass der Beschwerdeführer aus individuellen Gründen wirtschaftlicher, sozialer oder gesundheitlicher Natur bei einer Rückkehr nach Marokko in eine existenzbedrohende Situation geraten würde. Er verfügt im Heimatstaat seinen eigenen Angaben zufolge über ein familiäres und verwandtschaftliches Beziehungsnetz (vgl. A9 S. 4, A30 S. 3 f. F18 ff.) und es darf davon ausgegangen werden, dass er zumindest anfänglich auf diese sozialen Anknüpfungspunkte zurückgreifen kann. Zudem kann er nebst einer guten Schulbildung (Sekundarschule [vgl. A30 S. 4 F29 f.]) und Fremdsprachenkenntnissen (Französisch, Italienisch [vgl. A9 S. 3]) eine abgeschlossene Berufsausbildung als (...) (vgl. A30 S. 4 F28 f.) vorweisen. Damit darf grundsätzlich davon ausgegangen werden, dass er sich im Heimatland wieder wird integrieren können und auch in der Lage sein wird, ein, wenn auch bescheidenes, Einkommen zu erzielen. Allfällige anfängliche wirtschaftliche Reintegrationsschwierigkeiten stehen im Übrigen dem Vollzug nicht entgegen, da blosse soziale oder wirtschaftliche Schwierigkeiten, von denen die ansässige Bevölkerung betroffen ist (bspw. Mangel an Arbeitsplätzen), keine existenzbedrohende Situation zu begründen vermögen (vgl. BVGE 2010/41 E. 8.3.6). Die aktenkundigen medizinischen Probleme des Beschwerdeführers (vgl. A20 und A22 [ärztliche Berichte vom 26. April 2016 und 18. Mai 2016: {...}]) lassen nicht auf eine medizinische Notlage schliessen, die im Heimatland schlicht nicht behandelbar wäre (vgl. BVGE 2011/50 E. 8.3, 2009/2 E. 9.3.2). Der Beschwerdeführer wurde in der Schweiz medikamentös behandelt (vgl. A20 und A22) und er gab am 14. September 2016 zu Protokoll, dass es ihm inzwischen gesundheitlich gut gehe (vgl. A30 S. 2 F2). Sofern notwendig, ist eine weitere Behandlung auch in Marokko möglich (vgl. dazu die entsprechenden Ausführungen in der vorinstanzlichen Verfügung [S. 4]), was der Beschwerdeführer auch nicht bestreitet. Zudem besteht bei Bedarf auch die Möglichkeit medizinischer Rückkehrhilfe, beispielsweise in der Form der Mitgabe von Medikamenten (Art. 93 Abs. 1 Bst. d AsylG; Art. 75 der Asylverordnung 2 vom 11. August 1999 über Finanzierungsfragen [AsylV 2, SR 142.312]).</w:t>
      </w:r>
    </w:p>
    <w:p>
      <w:r>
        <w:rPr>
          <w:b/>
        </w:rPr>
        <w:t>E. 7.4</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7.5</w:t>
      </w:r>
    </w:p>
    <w:p>
      <w:r>
        <w:t>Das SEM hat den Wegweisungsvollzug aufgrund des Gesagten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