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D-64/2022 vom 25. April 2025</w:t>
      </w:r>
    </w:p>
    <w:p>
      <w:r>
        <w:t>Bundesverwaltungsgericht, 2025-04-25, DE</w:t>
      </w:r>
    </w:p>
    <w:p>
      <w:r>
        <w:rPr>
          <w:b/>
        </w:rPr>
        <w:t xml:space="preserve">Quelle: </w:t>
      </w:r>
      <w:r>
        <w:t>https://mcp.opencaselaw.ch/entscheid/bvger_D-64_2022</w:t>
      </w:r>
    </w:p>
    <w:p>
      <w:r>
        <w:t>FR: TAF D-64/2022 du 25 avril 2025</w:t>
      </w:r>
    </w:p>
    <w:p>
      <w:r>
        <w:t>IT: TAF D-64/2022 del 25 aprile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D-64/2022 Seite 4 entscheidet auf dem Gebiet des Asyls in der Regel –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der Be- schwerdeführer beziehungsweise seine Familie habe sich gegen die auf- grund ihrer Clanzugehörigkeit erlittenen Diskriminierungen stets zu wehren gewusst und die Hänseleien sowie Übergriffe anderer Kinder würden die für die Zuerkennung der Flüchtlingseigenschaft erforderliche Intensität auch nicht erreichen. Im Weiteren sei die gesamte ansässige Bevölkerung</w:t>
      </w:r>
    </w:p>
    <w:p>
      <w:r>
        <w:t>D-64/2022 Seite 5 in gleichem Masse von den Konflikten in gewissen Teilen des Landes wie auch vom verwerflichen Fehlverhalten der Al-Shabaab betroffen, weshalb die vom Beschwerdeführer geltend gemachte Zwangsrekrutierung nicht gezielt sei. Das Verfolgungsmotiv der Al-Shabaab basiere nicht auf einem in Art. 3 AsylG genannten Motiv, sondern das Alter, Geschlecht und der Wohnort dienten der Miliz als Anknüpfungspunkte zur Durchsetzung des kriminellen Interesses zur Verstärkung der illegitimen Truppen. Die Weige- rung, sich den Al-Shabaab anzuschliessen, löse nicht ein Verfolgungsmotiv im Sinne von Art. 3 AsyIG aus und insbesondere mangle es – aufgrund des unpolitischen Hintergrundes – an einer politischen Implikation. Allfällige Vergeltungsmassnahmen seitens der Al-Shabaab infolge der Widerset- zung gegen ihre Aufforderungen seien als kriminelle, öffentlichkeitswirk- same Racheaktionen im Interesse ihrer eigenen Zielerreichung zu sehen. Mangels flüchtlingsrechtlich relevanten Verfolgungsmotivs halte das Asyl- vorbringen einer Rekrutierung durch die Al-Shabaab sowie seine diesbe- zügliche Weigerung den Anforderungen an die Flüchtlingseigenschaft ge- mäss Art. 3 AsyIG nicht stand. Der Beschwerdeführer erfülle die Flücht- lingseigenschaft nicht und das Asylgesuch sei abzulehnen.</w:t>
      </w:r>
    </w:p>
    <w:p>
      <w:r>
        <w:rPr>
          <w:b/>
        </w:rPr>
        <w:t>E. 4.2</w:t>
      </w:r>
    </w:p>
    <w:p>
      <w:r>
        <w:t>Dem entgegnet der Beschwerdeführer in seiner Beschwerde, er ge- höre dem ethnischen Minderheitenclan der Bantu (…) an, dessen Angehö- rige von grossen Teilen der somalischen Gesellschaft als minderwertig be- trachtet und diskriminiert würden. Bei dieser sozial niedrigen Stellung sei er überproportional stark von Gewalttaten, Enteignungen, Plünderungen und dadurch von Hungersnot betroffen. Die erlittenen Schikanen hätten bei ihm einen unerträglichen psychischen Druck bewirkt und die Gefährdungs- situation habe sich nach dem Tod der Eltern verschärft, da ihn die Familie nicht schützen könne. Alsdann könne im Sinne der bundesverwaltungsge- richtlichen Rechtsprechung aus der legitimen Einberufung von erwachse- nen Dienstpflichtigen in den Militärdienst anhand der Anknüpfungspunkte Alter, Geschlecht und lokaler Herkunft nicht – anhand ähnlicher Merkmale – auf eine legitime Zwangsrekrutierung eines (damals) noch Minderjähri- gen geschlossen werden. Bei der Zwangsrekrutierung des (damals) min- derjährigen Beschwerdeführers handle es sich um eine illegitime Verpflich- tung zu einem Dienst bei einer privaten Miliz, die einen ernsthaften, geziel- ten Nachteil darstelle und die vom Asylgesetz erforderliche Intensität auf- weise (BVGer-Urteil E-1144/2018 vom 29. Juni 2020 E. 7.3.1 und E- 5072/2018 vom 17. Dezember 2020 E. 5.6 f.). Die Inhaftierung, Folterung und Zwangsrekrutierung des Beschwerdeführers durch die Al-Shabaab knüpfe entgegen der Meinung der Vorinstanz an asylrechtlich relevante</w:t>
      </w:r>
    </w:p>
    <w:p>
      <w:r>
        <w:t>D-64/2022 Seite 6 Verfolgungsmotive (ethnische Minderheit, unabänderbare Merkmale wie Alter, Geschlecht und Wohnort) an. Der Beschwerdeführer habe bei der Flucht die begründete Furcht gehabt, aus einem asylrechtlich relevanten Motiv zu einem nicht legitimen Kampfeinsatz für die Al-Shabaab gezwun- gen und somit einer Gefahr für Leib und Leben ausgesetzt zu werden. Die grausame Behandlung des Beschwerdeführers und seiner Familie durch die Al-Shabaab (Tötung des Bruders, Inhaftierung, Folterung und Zwangs- rekrutierung des damals 15-jährigen Beschwerdeführers) erfülle die gefor- derte Intensität der ernsthaften Nachteile im Sinne von Art. 3 Abs. 2 AsylG. Eine drohende zukünftige Verfolgung des Beschwerdeführers (erneute Zwangsrekrutierung zum Kampfeinsatz, Bestrafung infolge Weigerung) könne nicht ausgeschlossen werden. Die Schutzfähigkeit Somalias sowie eine innerstaatliche Schutzalternative seien – auch angesichts der vorläu- figen Aufnahme des Beschwerdeführers – zu verneinen.</w:t>
      </w:r>
    </w:p>
    <w:p>
      <w:r>
        <w:rPr>
          <w:b/>
        </w:rPr>
        <w:t>E. 4.3</w:t>
      </w:r>
    </w:p>
    <w:p>
      <w:r>
        <w:t>In der Vernehmlassung hielt die Vorinstanz hauptsächlich fest, aus der vom Beschwerdeführer zitierten bundesverwaltungsgerichtlichen Recht- sprechung könne insbesondere aufgrund unterschiedlicher Ausgangsla- gen keine Analogie abgeleitet werden. Bei Al-Shabaab handle es sich um eine nicht-staatliche – im Gegensatz zu einer quasi-staatlichen – Gruppie- rung. Im Übrigen habe der Beschwerdeführer bisher die geltend gemachte Zwangsrekrutierung nicht an seine Zugehörigkeit zu einer ethnischen Min- derheit geknüpft, vielmehr sei sie unabhängig von der Ethnie erfolgt.</w:t>
      </w:r>
    </w:p>
    <w:p>
      <w:r>
        <w:rPr>
          <w:b/>
        </w:rPr>
        <w:t>E. 5.1</w:t>
      </w:r>
    </w:p>
    <w:p>
      <w:r>
        <w:t>In der Beschwerde wird die formelle Rüge der ungenügenden Feststel- lung des rechtserheblichen Sachverhalts erhoben. Sie ist vorab zu beurtei- len, da sie gegebenenfalls geeignet ist, eine Kassation der vorinstanzlichen Verfügung zu bewirken.</w:t>
      </w:r>
    </w:p>
    <w:p>
      <w:r>
        <w:rPr>
          <w:b/>
        </w:rPr>
        <w:t>E. 5.2</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 sichtigt werden (vgl. BVGE 2016/2 E. 4.3). Der Untersuchungsgrundsatz gilt aber nicht uneingeschränkt, zumal er sein Korrelat in der Mitwirkungs- pflicht des Asylsuchenden findet (vgl. Art. 13 VwVG und Art. 8 AsylG).</w:t>
      </w:r>
    </w:p>
    <w:p>
      <w:r>
        <w:t>D-64/2022 Seite 7</w:t>
      </w:r>
    </w:p>
    <w:p>
      <w:r>
        <w:rPr>
          <w:b/>
        </w:rPr>
        <w:t>E. 5.3</w:t>
      </w:r>
    </w:p>
    <w:p>
      <w:r>
        <w:t>Im vorliegenden Fall hat das SEM eine Würdigung nach Massgabe von Art. 3 AsylG vorgenommen und auf eine Prüfung der Glaubhaftigkeit der Asylvorbringen gemäss Art. 7 AsylG gänzlich verzichtet. Das SEM erach- tete die Vorbringen als nicht im Sinne von Art. 3 AsylG relevant. Das Bun- desverwaltungsgericht kommt aufgrund nachfolgender Erwägungen zum Schluss, dass die Sachverhaltsfeststellung des SEM unvollständig ist.</w:t>
      </w:r>
    </w:p>
    <w:p>
      <w:r>
        <w:rPr>
          <w:b/>
        </w:rPr>
        <w:t>E. 5.4</w:t>
      </w:r>
    </w:p>
    <w:p>
      <w:r>
        <w:t>Nach Lehre und Rechtsprechung erfüllt eine asylsuchende Person die Flüchtlingseigenschaft im Sinne von Art. 3 AsylG und Art. 1A des Abkom- mens über die Rechtsstellung der Flüchtlinge (Flüchtlingskonvention,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Die fünf in Art. 3 Abs. 1 AsylG erwähnten Verfolgungsmo- tive sind gemäss gefestigter Praxis über die sprachlich allenfalls engere Bedeutung ihrer Begrifflichkeit hinaus so zu verstehen, dass die Verfolgung wegen äusserer oder innerer Merkmale, die untrennbar mit der Person oder Persönlichkeit des Opfers verbunden sind, erfolgt ist beziehungs- weise droht (vgl. BVGE 2014/27 E. 6.3).</w:t>
      </w:r>
    </w:p>
    <w:p>
      <w:r>
        <w:rPr>
          <w:b/>
        </w:rPr>
        <w:t>E. 5.5</w:t>
      </w:r>
    </w:p>
    <w:p>
      <w:r>
        <w:t>Bezüglich der im vorliegenden Fall strittigen Frage, ob eine Zwangs- rekrutierung von minderjährigen Personen flüchtlingsrechtliche Relevanz hat, ist zunächst darauf hinzuweisen, dass die Zwangsrekrutierung von minderjährigen Personen im humanitären Völkerrecht grundsätzlich verbo- ten ist. Die Rekrutierung von Kindern unter 15 Jahren stellt ein Kriegsver- brechen dar und wird im Rahmen des Universalitätsprinzips auch in der Schweiz strafrechtlich verfolgt, selbst wenn die Tat im Ausland begangen wurde (vgl. Art. 2 Fakultativprotokoll zur KRK; Art. 8 Abs. 2 Bst. e vii Römer Statut des Internationalen Strafgerichtshofs vom 17. Juli 1998, SR 0.312.1; Art. 264f i.V.m. Art. 264m StGB). Dabei wird sowohl die Eingliederung in (staatliche) Streitkräfte wie auch in eine (nicht-staatliche) bewaffnete Gruppe bestraft (vgl. etwa KESHELAVA/ZEHNDER, in: Basler Kommentar Strafgesetzbuch, 4. Aufl. 2019, Art. 264f StGB N. 8 f. S. 4789). Die Schweiz hat auch die weitergehenden Konventionen ratifiziert, welche jede Rekru- tierung von Kindern unter 18 Jahren durch nichtstaatliche Gruppierungen verpönen und die Vertragsstaaten verpflichten, alle Massnahmen zu er- greifen, um dieses Verbot durchzusetzen (Fakultativprotokoll zur Kinder- rechtskonvention [SR 0.107.1] sowie Konvention der International Labour Organisation [ILO] Nr. 182 über die schlimmsten Formen der Kinderarbeit</w:t>
      </w:r>
    </w:p>
    <w:p>
      <w:r>
        <w:t>D-64/2022 Seite 8 [SR 0.822.728.2]). Die Rekrutierung von Kindern unter 18 Jahren in eine staatliche Armee oder nichtstaatliche bewaffnete Gruppe kann nach der Rechtsprechung des Bundesverwaltungsgerichts eine asylrelevante Ver- folgung darstellen (vgl. dazu Urteile des BVGer E-1144/2018 vom 29. Juni 2020 E. 7.3.1 und E-5072/2018 vom 17. Dezember 2020 E. 5.6). Diese Auffassung wird auch von der Lehre sowie vom UNHCR (Hochkommissa- riat der Vereinten Nationen für Flüchtlinge) geteilt (KAMMERMANN, Flucht vor Krieg, 2019, S. 301 ff. m.w.H.; LUTERBACHER, Die flüchtlingsrechtliche Behandlung von Dienstverweigerung und Desertion, 2004, S. 61 ff. m.w.H.; UNHCR, Asylanträge von Kindern, HCR/GIP/09/08, 2009, Ziff. 21). Infolgedessen vermag die Auffassung der Vorinstanz, es habe keine asyl- relevante Verfolgung des Beschwerdeführers vorgelegen, nicht gänzlich zu überzeugen. Insbesondere die Begründung, er habe die Zwangsrekrutie- rung bisher nicht an seine ethnische Minderheit geknüpft, greift vorliegend zu kurz. Aufgrund der Vorbringen des Beschwerdeführers ist nicht zum Vornherein auszuschliessen, ihm habe – zusätzlich zu seinem damaligen Alter (15-jährig), seinem Geschlecht sowie seines Wohnortes – aufgrund der Minderheitsclanzugehörigkeit eine Zwangsrekrutierung gedroht, zumal er stets darauf hingewiesen hat, wegen der Zugehörigkeit zu einem niede- ren Clan im Dorf diskriminiert worden zu sein (vgl. A17 Ziff. 7.01, A22 F30, F91). Das Bestehen einer zielgerichteten Verfolgung kann beziehungs- weise konnte zum Zeitpunkt der Ausreise bei dieser Ausgangslage nicht leichthin ausgeschlossen werden.</w:t>
      </w:r>
    </w:p>
    <w:p>
      <w:r>
        <w:rPr>
          <w:b/>
        </w:rPr>
        <w:t>E. 5.6</w:t>
      </w:r>
    </w:p>
    <w:p>
      <w:r>
        <w:t>Demnach hat die Vorinstanz zu Unrecht die Asylrelevanz der Vorbrin- gen zum Vornherein ausgeschlossen und deswegen auf eine Glaubhaftig- keitsprüfung verzichtet. Angesichts des potentiell flüchtlingsrechtlich rele- vanten Vorbringens des Beschwerdeführers wäre die Vorinstanz gehalten gewesen, dieses vertiefter zu prüfen und sämtliche für die Prüfung nach Art. 3 und 7 AsylG erforderlichen Sachverhaltselemente zu ermitteln. Na- mentlich hätte es nicht ohne Weiteres auf eine (eingehende) Glaubhaftig- keitsprüfung verzichten dürfen und gegebenenfalls abklären müssen, ob der Beschwerdeführer im Zeitpunkt der Ausreise beziehungsweise nach seiner Freilassung mit einer erneuten Rekrutierung durch die Al-Shabaab hätte rechnen müssen, zumal er angab, er sei aufgrund der Einwilligung der Mutter, ihn an Al-Shabaab zu übergeben, freigelassen worden. Die Vor- instanz hat es indes aufgrund der aus ihrer Sicht flüchtlingsrechtlich nicht relevanten Vorbringen des Beschwerdeführers unterlassen, in der Anhö- rung zu den Asylgründen gezielte Nachfragen zu stellen, welche eine ab- schliessende Prüfung der Glaubhaftigkeit seiner Vorbringen erlauben</w:t>
      </w:r>
    </w:p>
    <w:p>
      <w:r>
        <w:t>D-64/2022 Seite 9 würden. Die Frage der Glaubhaftigkeit der Asylvorbringen ist daher von der Vorinstanz vorgängig umfassend zu prüfen. Inzwischen ist der Beschwer- deführer zwar volljährig geworden, weshalb sich die Frage flüchtlingsrecht- licher Relevanz der Rekrutierung von Kindersoldaten nicht mehr stellt. Dennoch ist nicht auszuschliessen, dass dem Beschwerdeführer bei einer (hypothetischen) Rückkehr zum aktuellen Zeitpunkt eine von der Al- Shabaab feindliche Gesinnung unterstellt wird. Hierzu ist gegebenenfalls insbesondere abzuklären, welche Kräfteverhältnisse am damaligen Woh- nort beziehungsweise in seinem Dorf in Bezug auf die Al-Shabaab, wie auch auf den Minderheitenclan, aktuell herrschen und ob für den Be- schwerdeführer individuell-konkrete Wohnsitzalternativen in Somalia be- stehen.</w:t>
      </w:r>
    </w:p>
    <w:p>
      <w:r>
        <w:rPr>
          <w:b/>
        </w:rPr>
        <w:t>E. 6.1</w:t>
      </w:r>
    </w:p>
    <w:p>
      <w:r>
        <w:t>Gemäss Art. 61 Abs. 1 VwVG entscheidet das Bundesverwaltungsge- richt in der Sache selbst oder weist diese ausnahmsweise mit verbindlichen Weisungen an die Vorinstanz zurück. Eine reformatorische Entscheidung setzt voraus, dass die Sache entscheidreif ist; dazu muss insbesondere der rechtserhebliche Sachverhalt richtig und vollständig festgestellt worden sein. Dies ist vorliegend nicht der Fall. Die fehlende Entscheidungsreife kann grundsätzlich zwar auch durch das Bundesverwaltungsgericht selbst hergestellt werden, wenn dies im Einzelfall aus prozessökonomischen Gründen angebracht erscheint (vgl. BVGE 2012/21 E. 5). Das Gericht kann und soll aber die Grundlagen des rechtserheblichen Sachverhalts nicht gleichsam an Stelle der verfügenden Verwaltungsbehörde erheben, zumal die Partei bei einem solchen Vorgehen eine Instanz verlieren würde. Ent- sprechend rechtfertigt sich vorliegend eine Kassation der angefochtenen Verfügung und Rückweisung der Sache an die Vorinstanz zur vollständigen Sachverhaltsermittlung im Sinne der obigen Erwägungen und neuen Ent- scheidung (vgl. dazu auch Urteil des BVGer D-96/2024 vom 5. Februar 2025 E. 6.2).</w:t>
      </w:r>
    </w:p>
    <w:p>
      <w:r>
        <w:rPr>
          <w:b/>
        </w:rPr>
        <w:t>E. 6.2</w:t>
      </w:r>
    </w:p>
    <w:p>
      <w:r>
        <w:t>Die Beschwerde ist folglich gutzuheissen, soweit eventualiter beantragt wird, die Sache sei zur hinreichenden Abklärung des rechtserheblichen Sachverhalts an die Vorinstanz zurückzuweisen. Die Verfügung des SEM vom 7. Dezember 2021 ist demnach betreffend Dispositivziffern 1 bis 3 (Flüchtlingseigenschaft, Asyl, Wegweisung) aufzuheben und die Sache im Sinne der Erwägungen zur vollständigen und richtigen Sachverhaltsermitt- lung und Neubeurteilung an das SEM zurückzuweisen.</w:t>
      </w:r>
    </w:p>
    <w:p>
      <w:r>
        <w:t>D-64/2022 Seite 10</w:t>
      </w:r>
    </w:p>
    <w:p>
      <w:r>
        <w:rPr>
          <w:b/>
        </w:rPr>
        <w:t>E. 7</w:t>
      </w:r>
    </w:p>
    <w:p>
      <w:r>
        <w:t>Dem Beschwerdeführer ist das Doppel der Vernehmlassung mit dem Urteil zur Kenntnis zu bringen.</w:t>
      </w:r>
    </w:p>
    <w:p>
      <w:r>
        <w:rPr>
          <w:b/>
        </w:rPr>
        <w:t>E. 8</w:t>
      </w:r>
    </w:p>
    <w:p>
      <w:r>
        <w:t>Bei diesem Ausgang des Verfahrens sind keine Kosten zu erheben (Art. 63 Abs. 1 und 2 VwVG).</w:t>
      </w:r>
    </w:p>
    <w:p>
      <w:r>
        <w:rPr>
          <w:b/>
        </w:rPr>
        <w:t>E. 9</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Der in der eingereichten Kostennote ausgewiesene Stundenansatz von Fr. 300.– und der geltend gemachte Zeitaufwand von 10 Stunden (zuzüglich Barausla- gen) erscheinen angemessen (vgl. Art. 12 i.V.m. Art. 10 Abs. 2 des Regle- ments vom 21. Februar 2008 über die Kosten und Entschädigungen vor dem Bundesverwaltungsgericht [VGKE, SR 173.320.2; Art. 8 Abs. 2 VGKE). Demgemäss ist dem Beschwerdeführer zulasten der Vorinstanz eine Parteientschädigung von insgesamt Fr. 3'136.50 (inkl. Auslagen) zu- zusprechen. (Dispositiv nächste Seite)</w:t>
      </w:r>
    </w:p>
    <w:p>
      <w:r>
        <w:t>D-64/2022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