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D-6493/2014 vom 11. April 2016</w:t>
      </w:r>
    </w:p>
    <w:p>
      <w:r>
        <w:t>Bundesverwaltungsgericht, 2016-04-11, DE</w:t>
      </w:r>
    </w:p>
    <w:p>
      <w:r>
        <w:rPr>
          <w:b/>
        </w:rPr>
        <w:t xml:space="preserve">Quelle: </w:t>
      </w:r>
      <w:r>
        <w:t>https://mcp.opencaselaw.ch/entscheid/bvger_D-6493_2014</w:t>
      </w:r>
    </w:p>
    <w:p>
      <w:r>
        <w:t>FR: TAF D-6493/2014 du 11 avril 2016</w:t>
      </w:r>
    </w:p>
    <w:p>
      <w:r>
        <w:t>IT: TAF D-6493/2014 del 11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unter Vorbehalt von E. 10.3 hiernach einzutreten.</w:t>
      </w:r>
    </w:p>
    <w:p>
      <w:r>
        <w:rPr>
          <w:b/>
        </w:rPr>
        <w:t>E. 3</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kommt Art. 49 VwVG zur Anwendung (vgl. BVGE 2014/26 E. 5).</w:t>
      </w:r>
    </w:p>
    <w:p>
      <w:r>
        <w:rPr>
          <w:b/>
        </w:rPr>
        <w:t>E. 4</w:t>
      </w:r>
    </w:p>
    <w:p>
      <w:r>
        <w:t>Vorab machte der Beschwerdeführer in seiner Rechtsmitteleingabe geltend, dass das Verfahren wegen unrichtiger beziehungsweise unvollständiger Abklärung des rechtserheblichen Sachverhalts an die Vorinstanz zurückzuweisen sei. So habe diese die von ihm geschilderten Geschehnisse rund um das Newroz-Fest im Jahr 2013 weder in den entscheidwesentlichen Sachverhalt noch in die Entscheidbegründung aufgenommen, obwohl die entsprechenden Vorbringen offensichtlich geeignet seien, sein Gefährdungspotential bezüglich Verfolgung durch die H._______ zu erhöhen. Dasselbe gelte betreffend den Umstand, dass er eine Cafeteria betrieben habe, welche offenbar als Umschlagsplatz und Versammlungsort für kurdische Aktivisten gedient habe. Zudem sei die Vorinstanz den Aussagen des Beschwerdeführers nicht nachgegangen, wonach er für die G._______-Partei ein Institut gegründet habe beziehungsweise zumindest an diesem als Leiter beschäftigt sowie als H._______- und regierungskritischer Journalist tätig gewesen sei. Schliesslich habe die Vorinstanz die exilpolitischen Tätigkeiten des Beschwerdeführers nicht zur Kenntnis genommen und diese pauschal und unter blosser Verwendung von Textbausteinen ohne Bezug zum Einzelfall als flüchtlingsrechtlich nicht relevant bezeichnet. Damit habe die Vor- instanz den Untersuchungsgrundsatz gemäss Art. 12 VwVG sowie das rechtliche Gehör des Beschwerdeführers gemäss Art. 29 Abs. 2 BV verletzt (vgl. Beschwerde S. 5 f.). Diese gerügten Verletzungen formellen Rechts, insbesondere diejenige der unvollständigen und unrichtigen Sachverhaltsfeststellung, sind vorweg zu prüfen, da ein allenfalls ungenügend abgeklärter Sachverhalt eine materielle Beurteilung verunmöglichen würde (vgl. dazu nachstehend E. 5.1-5.3).</w:t>
      </w:r>
    </w:p>
    <w:p>
      <w:r>
        <w:rPr>
          <w:b/>
        </w:rPr>
        <w:t>E. 5.1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sowie Entscheidungen und Mitteilungen der Schweizerischen Asylrekurskommission [EMARK] 1995 Nr. 23 E. 5a S. 222). In diesem Kontext besehen gilt ein Sachverhalt indes erst dann als unvollständig festgestellt, wenn nicht über alle rechtserheblichen Umstände Beweis geführt wurde oder wenn eine entscheidrelevante Tatsache zwar erhoben wurde, diese jedoch daraufhin nicht gewürdigt wurde und nicht in den Entscheid einfloss (vgl. Zibung/Hofstetter, in: Praxiskommentar VwVG, Waldmann/Weissenberger [Hrsg.], 2. Aufl. 2016, Art. 49 N 40; siehe zum Ganzen auch Benjamin Schindler, in: Auer et al. [Hrsg.], Kommentar zum Bundesgesetz über das Verwaltungsverfahren [VwVG], 2008, Rz. 28 zu Art. 49).</w:t>
      </w:r>
    </w:p>
    <w:p>
      <w:r>
        <w:rPr>
          <w:b/>
        </w:rPr>
        <w:t>E. 5.2</w:t>
      </w:r>
    </w:p>
    <w:p>
      <w:r>
        <w:t>Vorliegend ging die Vorinstanz aufgrund der Parteiauskünfte und der vom Beschwerdeführer eingereichten Beweismittel (Art. 12 Bst. c VwVG) offensichtlich davon aus, dass der rechtserhebliche Sachverhalt als erstellt gelten könne und keine weiteren Beweismassnahmen zu ergreifen seien. Bezüglich der vom Beschwerdeführer geltend gemachten Rüge der unvollständigen Sachverhaltsfeststellung ist vorweg auf die Ausführungen in der Vernehmlassung des BFM zu verweisen. Darin hielt die Vorinstanz zutreffend fest, dass die Vorfälle im Zusammenhang mit dem Newroz-Fest 2013 aufgrund der fehlenden Asylrelevanz nicht in den Sachverhalt aufgenommen und dementsprechend nicht explizit gewürdigt worden seien, zumal sich aus den Schilderungen des Beschwerdeführers, wonach man entgegen dem Willen der H._______ ein Feuer angezündet und Lieder abgespielt habe, nicht erkennen lasse, inwiefern dadurch eine asylrelevante Verfolgung hätte resultieren sollen, sondern sich eher der Verdacht aufdränge, als hätte es sich um Meinungsverschiedenheiten unter den kurdischen Parteien gehandelt. Bezüglich der in der Cafeteria des Beschwerdeführers abgehaltenen Sitzungen habe dieser anlässlich der Anhörung erklärt, dass das Lokal der ganzen Familie gehört habe, sich jedoch aus seiner G._______-Mitgliedschaft keinerlei Konsequenzen für seine Familienangehörigen ergeben hätten. Wären die abgehaltenen Sitzungen der G._______-Partei der H._______ tatsächlich ein Dorn im Auge gewesen, könnte davon ausgegangen werden, dass diese versucht hätte, diese Treffen zu unterbinden. Da es hierzu offensichtlich nicht gekommen sei, könne nicht davon ausgegangen werden, dass das Abhalten von Treffen in den Räumlichkeiten des Lokals der Familie des Beschwerdeführers eine asylrechtlich relevante Verfolgung durch die H._______ nach sich gezogen hätte. Dieselbe Einschätzung treffe auch auf die angebliche Leitertätigkeit des Beschwerdeführers in einem Institut zu. So seien seinen Aussagen keinerlei Hinweise dafür zu entnehmen, wieso und inwiefern die Leitung dieser Schulungseinrichtung ein Problem hätte darstellen können. Schliesslich sei das BFM auf die exilpolitischen Tätigkeiten des Beschwerdeführers in der Schweiz eingegangen, aber zum Schluss gekommen, dass diese nicht geeignet seien, um subjektive Nachfluchtgründe geltend zu machen. So sei weder aus seinen Schilderungen zu den Demonstrationsteilnahmen in L._______ und M._______ noch aus seinen Treffen mit Vertretern der G._______-Partei erkennbar, inwiefern der Beschwerdeführer deshalb das Interesse der syrischen Behörden hätte wecken beziehungsweise von ihnen als Bedrohung hätte wahrgenommen werden sollen. Vielmehr erweckten seine Aussagen den Eindruck, als würde sein Engagement nicht über das Mass einer einfachen Teilnahme hinausgehen, woran auch die eingereichten Beweismittel nichts änderten. So handle es sich beim Dokument der N._______-Gruppe um ein Standardschreiben ohne persönlichen Bezug zum Beschwerdeführer. Dasselbe treffe auch auf das eingereichte Dokument zu einer Demonstration in O._______ zu. Ferner sei das Bestätigungsschreiben der G._______-Partei nicht geeignet, um subjektive Nachfluchtgründe geltend zu machen, da es sich hierbei um ein Gefälligkeitsschreiben handle. Inwiefern die Aussage des Beschwerdeführers, wonach er eine enge Bezugsperson des Generalsekretärs der syrischen G._______-Partei sei, den Tatsachen entspreche, lasse sich anhand der eingereichten Fotos nicht verifizieren, wobei auch ein möglicher Kontakt mit jener Person nicht direkt zu einer potenziellen Gefährdungssituation führen würde (vgl. Vernehmlassung des BFM vom 14. November 2014). Der Beschwerdeführer bestreitet in seiner Replik vom 2. Dezember 2014 die vorstehend wiedergegebenen Ausführungen der Vorinstanz. Seine Bestreitungsvermerke vermögen indessen an der Tatsache nichts zu ändern, dass die Vorinstanz nach einer gesamtheitlichen Würdigung der aktenkundigen Parteivorbringen und der Beweismittel zu einem anderen Schluss als der Beschwerdeführer gelangte, was weder eine Verletzung des Untersuchungsgrundsatzes noch eine unvollständige Feststellung des rechtserheblichen Sachverhaltes darstellt. Dasselbe gilt bezüglich der zusammen mit der Replik eingereichten Beweismittel. Dabei handelt es sich zum einen um das Original einer bereits im vorinstanzlichen Verfahren in Kopie eingereichten K._______-Urkunde, wobei es sich um eine Ehrenurkunde handle, welche der Beschwerdeführer für sein Engagement als Supervisor am Institut der G._______-Partei erhalten habe. Je ein Foto zeigt eine weibliche Drittperson sowie diese zusammen mit dem Beschwerdeführer und einer männlichen Drittperson, wobei jeweils die weibliche Drittperson und der Beschwerdeführer eine Urkunde der besagten Art präsentieren. Sodann wurde das Original eines weiteren bereits beim BFM in Kopie eingereichten Dokuments eingereicht, wobei es sich um eine Journalismus-Urkunde handeln soll, welche der Beschwerdeführer anlässlich des kurdischen Pressetags für seine prokurdischen journalistischen Aktivitäten von der G._______-Partei erhalten habe; dieses Dokument belege seine Funktion als Journalist für die K._______ und stütze damit insgesamt die dargelegten Asylgründe. Zum andern handelt es sich um Fotos von verschiedenen Veranstaltungen und Anlässen in Syrien (betreffend Newroz 2013, I._______-Massaker, H._______-Übergriff auf die Zentrale der G._______-Partei, Kinder- und Jugenddemonstration der K._______ vom (...) 2013, kurdische Beerdigung vom (...) 2012 sowie Demonstrationen und Sitzung der Partei), auf welchen der Beschwerdeführer teilweise abgebildet ist. Mithin erhellt aufgrund der vorliegenden Aktenlage, dass die Vorinstanz den Sachverhalt korrekt und vollständig festgestellt hat; darüber hinaus ist sie auch zu Recht davon ausgegangen, dass keine weiteren Beweismass- nahmen mehr zu ergreifen waren.</w:t>
      </w:r>
    </w:p>
    <w:p>
      <w:r>
        <w:rPr>
          <w:b/>
        </w:rPr>
        <w:t>E. 5.3</w:t>
      </w:r>
    </w:p>
    <w:p>
      <w:r>
        <w:t>Weiter ist bezüglich der gerügten Verletzung der Abklärungs- und Begründungspflicht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 In casu geht aus der Verfügung des BFM vom 3. Oktober 2014 namentlich hervor, dass sich die Vorinstanz im angefochtenen Entscheid mit den Vorbringen des Beschwerdeführers sehr differenziert auseinandergesetzt hat und dabei insbesondere zum Ergebnis gelangt ist, dass sie nicht glaubhaft seien. Eine konkrete Würdigung des Einzelfalles ist zweifellos erfolgt, und es ist absolut nicht ersichtlich, dass die Vorinstanz die vom Beschwerdeführer vorgebrachten Sachverhaltselemente oder eingereichten Beweismittel, welche entscheidwesentlich sind, nicht beachtet hätte. Insofern in der Beschwerde gerügt wird, die Vorinstanz habe einige Aussagen oder Beweismittel des Beschwerdeführers in der Verfügung nicht ausdrücklich erwähnt, ist auf das in den einleitenden Abschnitten dieser Erwägung Gesagte sowie auf die Vernehmlassung des BFM zu verweisen.</w:t>
      </w:r>
    </w:p>
    <w:p>
      <w:r>
        <w:rPr>
          <w:b/>
        </w:rPr>
        <w:t>E. 5.4</w:t>
      </w:r>
    </w:p>
    <w:p>
      <w:r>
        <w:t>Zusammenfassend gelangt das Bundesverwaltungsgericht nach dem Gesagten zum Schluss, dass sämtliche der erhobenen formellen Rügen unberechtigt sind und in den Akten keine Stütze finden. Die entsprechenden Rückweisungsanträge sind demzufolge in allen Punkten abzuweisen.</w:t>
      </w:r>
    </w:p>
    <w:p>
      <w:r>
        <w:rPr>
          <w:b/>
        </w:rPr>
        <w:t>E. 6.1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6.4</w:t>
      </w:r>
    </w:p>
    <w:p>
      <w:r>
        <w:t>Die Überprüfung der Akten ergibt, dass die vorstehend in E. 6.3 aufgeführten Kriterien der Glaubhaftmachung mit Blick auf die geltend gemachten Verfolgungsumstände nicht als erfüllt zu erachten sind. Deshalb ist zwecks Vermeidung von Wiederholungen vorweg auf die diesbezüglich zutreffenden Erwägungen in der angefochtenen Verfügung zu verweisen (vgl. Sachverhalt Bst. B). Daran vermögen die Ausführungen in der Beschwerdeeingabe - auch im Lichte der Asylrelevanz (Art. 3 AsylG) besehen - nichts zu ändern, zumal sich der Beschwerdeführer darin im Wesentlichen darauf beschränkt, an seinen bisherigen Vorbringen festzuhalten und diese zu wiederholen. So gab er bezüglich seiner beruflichen Tätigkeiten zu Protokoll, dass er nach der Schule im Restaurant und der Cafeteria seines Vaters gearbeitet habe und auch kurz als (...) tätig gewesen sei (vgl. BFM-act. [...]). Zudem sei er Mitglied der G._______-Partei gewesen und habe dort bei der Nachrichtenübertragung gearbeitet, wobei er Geschehnisse oder Vorkommnisse elektronisch übermittelt habe, manchmal auch in Internetcafés in F._______ (vgl. a.a.O. [...]). Zudem habe er anlässlich verschiedener Demonstrationen und Ereignisse sowie einmal an einem syrisch-türkischen Grenzübergang fotografiert, wobei ihm zwei Mal die Kamera abgenommen, aber wieder zurückgegeben worden und das Bildmaterial wegen des verschlüsselten Speichermediums Drittpersonen nicht zugänglich gewesen sei. Auch habe er über ein Facebook-Profil verfügt. Anlässlich eines Journalistentags sei er belohnt worden, wobei seine (...) das Geschenk für ihn entgegengenommen habe. Zudem habe die G._______-Partei ein Institut gegründet, an welchem Studenten ausgebildet worden seien, wobei er dort nicht als Lehrer, sondern als Leiter tätig gewesen sei (vgl. BFM-act. [...]). Aus diesen Aktivitäten, welche sich auf das Fotografieren von Demonstrationen und andern Ereignissen, Nachrichtenübertragung sowie das Betreiben eines Facebook-Kontos beschränkten, vermag der Beschwerdeführer die von ihm geltend gemachte Verfolgung wegen seiner Tätigkeit als Journalist offensichtlich nicht rechtsgenüglich darzutun. Daran ändert auch der Umstand nicht, dass er der Inhaber der besagten Cafeteria gewesen sein könnte. Diesbezüglich kann auf die vorstehend in E. 5.2 wiedergegebenen zutreffenden Ausführungen in der Vernehmlassung des BFM verwiesen werden. Dasselbe gilt betreffend die von ihm geltend gemachte Funktion an einem Institut der G._______-Partei, bezüglich welcher er keine konkreten Hinweise auf einen Zusammenhang mit seiner angeblichen Verfolgung darzutun vermag.</w:t>
      </w:r>
    </w:p>
    <w:p>
      <w:r>
        <w:rPr>
          <w:b/>
        </w:rPr>
        <w:t>E. 6.5</w:t>
      </w:r>
    </w:p>
    <w:p>
      <w:r>
        <w:t>Nach dem vorstehend Gesagten vermögen die vom Beschwerdeführer für den Zeitraum bis zur Ausreise aus dem Heimatstaat geltend gemachten Verfolgungsvorbringen weder den Anforderungen an die Glaubhaftigkeit noch denjenigen der Asylrelevanz zu genügen. Deshalb kann ihm für den Zeitpunkt der Ausreise aus Syrien keine begründete Furcht vor Verfolgung zuerkannt werden.</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 welche in casu nicht geltend gemacht wurden -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 3.5 m.w.H.).</w:t>
      </w:r>
    </w:p>
    <w:p>
      <w:r>
        <w:rPr>
          <w:b/>
        </w:rPr>
        <w:t>E. 7.2.1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2009/28 E. 7.1 S. 352;EMARK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7.2.2</w:t>
      </w:r>
    </w:p>
    <w:p>
      <w:r>
        <w:t>Nach dem Urteil des Bundesverwaltungsgerichts D-3839/2013 vom 28. Oktober 2015 (als Referenzurteil publiziert)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7.2.3</w:t>
      </w:r>
    </w:p>
    <w:p>
      <w:r>
        <w:t>Folglich ist vorliegend zu prüfen, ob die vom Beschwerdeführer geltend gemachten exilpolitischen Tätigkeiten den genannten Anforderungen genügen. Diesbezüglich kann auf die zutreffenden Erwägungen in der angefochten Verfügung (vgl. Sachverhalt Bst. B) und die Ausführungen in der Vernehmlassung des BFM verwiesen werden (vgl. E. 5.2). Die Ausführungen in den auf Beschwerdeebene gemachten Eingaben sind nicht geeignet, jene nachhaltig in Abrede zu stellen. Da der Beschwerdeführer keine Vorverfolgung glaubhaft machen konnte (vgl. vorstehend E. 6.4),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Weder die von ihm geltend gemachten Demonstrationen und Veranstaltungen, die Fotos, auf denen er zusammen mit angeblich wichtigen Personen der G._______-Partei abgebildet ist, und die eingereichten Unterlagen der Gruppe N._______ noch seine übrigen dokumentierten exilpolitischen Aktivitäten vermögen die Schwelle der massentypischen Erscheinungsformen exilpolitischen Protests syrischer Staatsangehöriger zu übersteigen. Es kann auch nicht davon ausgegangen werden, dass er innerhalb der exilpolitischen Szene eine bedeutsame Rolle einnimmt, aufgrund derer er als ausserordentlich engagierte und exponierte Regimegegner aufgefallen sein könnte. Deshalb ist es nicht wahrscheinlich, dass seitens des syrischen Regimes ein besonderes Interesse an seiner Person bestehen könnte (vgl. D-3839/2013 E. 6.4.2).</w:t>
      </w:r>
    </w:p>
    <w:p>
      <w:r>
        <w:rPr>
          <w:b/>
        </w:rPr>
        <w:t>E. 7.3</w:t>
      </w:r>
    </w:p>
    <w:p>
      <w:r>
        <w:t>Unter Berücksichtigung der gesamten Umstände folgt, dass sich der Beschwerdeführer auch nicht auf das Vorliegen von subjektiven Nachfluchtgründen berufen kann.</w:t>
      </w:r>
    </w:p>
    <w:p>
      <w:r>
        <w:rPr>
          <w:b/>
        </w:rPr>
        <w:t>E. 8</w:t>
      </w:r>
    </w:p>
    <w:p>
      <w:r>
        <w:t>Somit ergibt sich, dass insgesamt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und die übrigen nicht namentlich erwähnten Beweismittel detaillierter einzugehen, da sie an der vorliegenden Würdigung des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Gemäss ständiger Rechtsprechung sind die drei Bedingungen für einen Verzicht auf den Vollzug der Wegweisung (Unzulässigkeit, Unzumutbarkeit oder Unmöglichkeit; Art. 83 Abs. 1-4 AuG) alternativer Natur. Sobald eine davon erfüllt ist, erweist sich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10.3</w:t>
      </w:r>
    </w:p>
    <w:p>
      <w:r>
        <w:t>Da bereits festgestellt wurde, dass der Beschwerdeführer die Flüchtlingseigenschaft nicht erfüllt (vgl. vorstehend E. 8) ist nach dem Gesagten auf den Eventualantrag auf Unzulässigkeit des Wegweisungsvollzugs (vgl. Beschwerde S. 2 und 13), soweit damit eine separate Feststellung der Ersatzmassnahme beantragt werden soll, zum jetzigen Zeitpunkt nicht einzutreten.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war.</w:t>
      </w:r>
    </w:p>
    <w:p>
      <w:r>
        <w:rPr>
          <w:b/>
        </w:rPr>
        <w:t>E. 12.1</w:t>
      </w:r>
    </w:p>
    <w:p>
      <w:r>
        <w:t>Bei diesem Ausgang des Verfahrens wären dessen Kosten grundsätzlich dem Beschwerdeführer aufzuerlegen (Art. 63 Abs. 1 und 5 VwVG). Da das Bundesverwaltungsgericht dem Beschwerdeführer mit Zwischenverfügung vom 11. November 2014 die unentgeltliche Rechtspflege gemäss Art. 65 Abs. 1 VwVG gewährt und sich an den diesbezüglichen Voraussetzungen nichts geändert hat, sind keine Verfahrenskosten aufzuerlegen.</w:t>
      </w:r>
    </w:p>
    <w:p>
      <w:r>
        <w:rPr>
          <w:b/>
        </w:rPr>
        <w:t>E. 12.2</w:t>
      </w:r>
    </w:p>
    <w:p>
      <w:r>
        <w:t>Aufgrund der ebenfalls mit Zwischenverfügung vom 11. November 2014 angeordneten Bestellung des Rechtsvertreters als amtlicher Rechtsbeistand gemäss Art. 110a Abs. 1 und 3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2. Dezember 2014 wird ein Vertretungsaufwand in der Höhe von insgesamt Fr. 4210.50 geltend gemacht, wobei ein zeitlicher Vertretungsaufwand von 12.95 Stunden zu einem Stundenansatz von Fr. 300.-, Auslagen von Fr. 13.60 sowie eine Mehrwertsteuer von Fr. 311.90 ausgewiesen werden. Der zeitliche Aufwand erscheint angemessen. Indessen geht das Bundesverwaltungsgericht bei amtlicher Vertretung in der Regel von einem Stundenansatz von Fr. 200.- bis Fr. 220.- für Anwältinnen und Anwälte und Fr. 100.- bis Fr. 150.- für nichtanwaltliche Vertreterinnen und Vertreter aus (vgl. Art. 12 i.V.m. Art. 10 Abs. 2 VGKE), wobei nur der notwendige Aufwand entschädigt wird (vgl. Art. 8 Abs. 2 VGKE). Mithin ergibt dies bei einem Stundenansatz von Fr. 150.- für den nichtanwaltlichen Vertreter des Beschwerdeführers bezüglich der eingereichten Kostennote einen Gesamtaufwand von (gerundet) Fr. 2200.- (inkl. Auslagen und Mehrwertsteuer), auf welchen das amtliche Honorar des Rechtsvertreters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