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D-6491/2010 vom 28. Oktober 2010</w:t>
      </w:r>
    </w:p>
    <w:p>
      <w:r>
        <w:t>Bundesverwaltungsgericht, 2010-10-28, DE</w:t>
      </w:r>
    </w:p>
    <w:p>
      <w:r>
        <w:rPr>
          <w:b/>
        </w:rPr>
        <w:t xml:space="preserve">Quelle: </w:t>
      </w:r>
      <w:r>
        <w:t>https://mcp.opencaselaw.ch/entscheid/bvger_D-6491_2010</w:t>
      </w:r>
    </w:p>
    <w:p>
      <w:r>
        <w:t>FR: TAF D-6491/2010 du 28 octobre 2010</w:t>
      </w:r>
    </w:p>
    <w:p>
      <w:r>
        <w:t>IT: TAF D-6491/2010 del 28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Beschwerdeführenden rügen in ihrer Beschwerdeschrift zunächst eine Verletzung der Begründungspflicht durch die Vorinstanz, da diese den zu den Akten gereichten Presseausweis des Beschwerdeführers in der angefochtenen Verfügung weder erwähnt noch mitberücksichtigt habe.</w:t>
      </w:r>
    </w:p>
    <w:p>
      <w:r>
        <w:rPr>
          <w:b/>
        </w:rPr>
        <w:t>E. 5.2</w:t>
      </w:r>
    </w:p>
    <w:p>
      <w:r>
        <w:t>Die umfassende Ermittlung des relevanten Sachverhaltes folgt aus dem Anspruch auf rechtliches Gehör, ebenso folgt aus diesem Anspruch die grundsätzliche Pflicht der Behörde, ihren Entscheid rechtsgenüglich zu begründen. Im vorliegenden Fall verletzt die Vorinstanz jedoch ihre Begründungspflicht nicht. So legte sie im angefochtenen Entscheid in nachvollziehbarer Weise dar, aus welchen Gründen sie den oppositionellen Tätigkeiten des Beschwerdeführers die Asylrelevanz abspricht. Aus dem verfassungsmässigen Anspruch auf rechtliches Gehör ergibt sich keine Pflicht der Behörde, zu allen im Verfahren vorgetragenen Elementen ausführlich Stellung zu nehmen; sie kann sich bei der Begründung auf die für den Entscheid wesentlichen Punkte beschränken. Entgegen der in der Rechtsmittelschrift vertretenen Auffassung war die Vorinstanz daher nicht verpflichtet, sich in der angefochtenen Verfügung mit dem eingereichten Presseausweis des Beschwerdeführers explizit auseinanderzusetzen, zumal aus der Begründung deutlich wird, dass das BFM die journalistische Tätigkeit des Beschwerdeführers bei der Prüfung der Asylvorbringen berücksichtigt hat.</w:t>
      </w:r>
    </w:p>
    <w:p>
      <w:r>
        <w:rPr>
          <w:b/>
        </w:rPr>
        <w:t>E. 6.1</w:t>
      </w:r>
    </w:p>
    <w:p>
      <w:r>
        <w:t>Nach Prüfung der Akten durch das Gericht ist - in Übereinstimmung mit der Vorinstanz - festzustellen, dass die Vorbringen des Beschwerdeführers den Anforderungen an die Glaubhaftigkeit gemäss Art. 7 AsylG nicht standzuhalten vermögen beziehungsweise nicht asylrelevant sind, weshalb diesbezüglich vorab auf die ausführlichen und zutreffenden vorinstanzlichen Erwägungen zu verweisen ist (vgl. Ziffer I, Bst. E. vorstehend). Die unsubstanziierten Beschwerdevorbringen sind insgesamt nicht geeignet, die vorinstanzlichen Erwä-gungen zu entkräften. Insbesondere ist die Behauptung in der Rechts-mittelschrift, wonach der Beschwerdeführer sich bezüglich der durch die Vorsteher seiner Gemeinde ausgesprochenen Drohungen nicht widersprochen habe, wie das von der Vorinstanz geltend gemacht werde, unzutreffend, zumal der Beschwerdeführer anlässlich der Be-fragung vorbrachte, die drei Männer hätten ihm am 25. Oktober 2009 vorgeworfen, er übe politische Aktivitäten gegen sie aus (Akten BFM A 1/12, S. 7), demgegenüber er bei der Anhörung aussagte, sie hätten keine seiner politischen Aktivitäten erwähnt (Akten BFM A 17/15, S. 8). Auch die Tatsache, dass die Beschwerdeführenden mit dem Flugzeug legal über Baku ausreisen konnten, lässt darauf schliessen, dass der Beschwerdeführer nicht das Profil eines Regimegegners in dem Sinne aufweist, dass er Verfolgung asylrelevanten Ausmasses seitens der heimatlichen Behörden zu befürchten hat.</w:t>
      </w:r>
    </w:p>
    <w:p>
      <w:r>
        <w:rPr>
          <w:b/>
        </w:rPr>
        <w:t>E. 6.2</w:t>
      </w:r>
    </w:p>
    <w:p>
      <w:r>
        <w:t>Zusammenfassend ist daher festzuhalten, dass es den Beschwerdeführenden nicht gelungen ist nachzuweisen oder zumindest glaubhaft zu machen, dass der Beschwerdeführer in der Heimat ernsthafte Nachteile gemäss Art. 3 AsylG erlitten hat oder solche bei der Ausreise zu befürchten hatte oder im Falle einer Rückkehr nach Aserbaidschan befürchten müsste. Die Beschwerdeführenden vermögen mit ihren Beschwerdevorbringen und den eingereichten Beweismitteln zu keiner anderen Betrachtungsweise zu führen, weshalb es sich erübrigt, weiter darauf einzugehen. Der Beschwerdeführer erfüllt somit die Voraussetzungen zur Zuerkennung der Flüchtlingseigenschaft nicht, weshalb die Vorinstanz dessen Asylbegehren zu Recht und mit zutreffender Begründung abgelehnt hat.</w:t>
      </w:r>
    </w:p>
    <w:p>
      <w:r>
        <w:rPr>
          <w:b/>
        </w:rPr>
        <w:t>E. 6.3</w:t>
      </w:r>
    </w:p>
    <w:p>
      <w:r>
        <w:t>Die Beschwerdeführerin machte anlässlich der Befragung und der Anhörung keine eigenen Asylgründe geltend, sondern brachte vor, ihr Land nur wegen der Probleme ihres Mannes verlassen zu haben. Es ist daher festzustellen, dass ihr die originäre Flüchtlingseigenschaft im Sinne von Art. 3 AsylG nicht zukommt. Da der Beschwerdeführer - wie dargelegt - nicht als Flüchtling anerkannt wird, kann die Ehefrau auch nicht gestützt auf Art. 51 Abs. 1 AsylG in dessen Flüchtlingseigenschaft einbezogen werden. Die Vorinstanz hat daher deren Asylgesuch ebenfalls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Entscheide des Schweizerischen Bundesverwaltungsgerichts [BVGE] 2008/34 E. 9.2).</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Aserbaidschan ist demnach unter dem Aspekt von Art. 5 AsylG rechtmässig. Sodann ergeben sich weder aus den Aussagen der Beschwerdeführenden noch aus den Akten Anhaltspunkte dafür, dass sie für den Fall einer Ausschaffung nach Aserbaidschan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nach den vorstehenden Erwägungen nicht gelungen. Auch die allgemeine Menschenrechtssituation in Aserbaidschan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Weder die allgemeine Lage in Aserbaidschan noch die persönliche Situation der Beschwerdeführenden lassen im Falle einer Rückkehr auf eine konkrete Gefährdung schliessen. Sodann bestehen auch keine anderen Hinweise, dass die - soweit aktenkundig - gesunden Beschwerdeführenden bei einer Rückkehr in den Heimatstaat in eine konkrete, ihre Existenz bedrohende Situation geraten könnten. Die Beschwerdeführenden haben in ihrer Heimat ein familiäres Beziehungsnetz, leben doch unter anderem ihre Eltern sowie ihre Geschwister nach wir vor in Aserbaidschan (Akten BFM A 1/12, S. 5, A 2/12, S. 5). Zudem verfügen beide Beschwerdeführenden über eine Universitätsausbildung, die ihnen ein wirtschaftliches Fortkommen sichern dürfte. Angesichts der gesamten Umstände kann der Vollzug der Wegweisung daher auch als zumutbar bezeichnet werden.</w:t>
      </w:r>
    </w:p>
    <w:p>
      <w:r>
        <w:rPr>
          <w:b/>
        </w:rPr>
        <w:t>E. 8.4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den Beschwerdeführenden aufzuerlegen (Art. 63 Abs. 1 und 5 VwVG), auf insgesamt Fr. 600.-- festzusetzen (Art. 1-3 des Reglements vom 21. Februar 2008 über die Kosten und Entschädigungen vor dem Bundesverwaltungsgericht [VGKE, SR 173.320.2]) und mit dem am 30. September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