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D-648/2012 vom 19. Februar 2013</w:t>
      </w:r>
    </w:p>
    <w:p>
      <w:r>
        <w:t>Bundesverwaltungsgericht, 2013-02-19, DE</w:t>
      </w:r>
    </w:p>
    <w:p>
      <w:r>
        <w:rPr>
          <w:b/>
        </w:rPr>
        <w:t xml:space="preserve">Quelle: </w:t>
      </w:r>
      <w:r>
        <w:t>https://mcp.opencaselaw.ch/entscheid/bvger_D-648_2012</w:t>
      </w:r>
    </w:p>
    <w:p>
      <w:r>
        <w:t>FR: TAF D-648/2012 du 19 février 2013</w:t>
      </w:r>
    </w:p>
    <w:p>
      <w:r>
        <w:t>IT: TAF D-648/2012 del 19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führte die Vorinstanz im Wesentlichen aus, der Beschwerdeführer habe erst bei der Anhörung zu Protokoll gegeben, dass bei dem Vorfall auch ein Brandanschlag auf das Haus verübt worden sei, weshalb dieses Vorbringen als nachgeschoben zu bezeichnen sei. Des Weiteren habe er zu wesentlichen Punkten widersprüchliche, realitätsfremde und nicht nachvollziehbare Angaben gemacht. So habe er in der Befragung vom 5. September 2008 zu Protokoll gegeben, als er beim Haus eingetroffen sei, habe er sofort die Flucht ergriffen. Die Jugendlichen seien ihm gefolgt und er sei nur knapp entkommen (act. A 1/8 S. 4). Demgegenüber habe er in der Anhörung ausgesagt, die Jugendlichen hätten ihn nicht gesehen und er sei von diesen auch nicht verfolgt worden (act. A 12/16 S. 9). Einerseits habe er gesagt, seine Frau habe ihn verlassen, als sie von seiner Bisexualität erfahren habe (act. A 1/8 S. 5), andererseits gab er zu Protokoll, seine Frau habe nichts von seiner Bisexualität gewusst und er habe dies lediglich einem Freund erzählt (act. A 12/16 S. 6). Auch sei es lebensfremd, dass sich der Beschwerdeführer - obwohl er erst drei bis vier Wochen nach dem Zwischenfall ausgereist sei - nicht nach dem Gesundheitszustand seines Partners informiert habe und erst in der Schweiz vom Tod seines Partners erfahren habe, da er doch selber zu Protokoll gegeben habe, solche Neuigkeiten würden sich in Jamaika äusserst schnell verbreiten (vgl. act A 12/16 S. 11). Ausserdem sei auch zu erwarten gewesen, dass der Beschwerdeführer sich vor seiner Flucht über die aktuelle Gefährdungssituation an seinem Wohnort informieren würde. Obwohl Homosexualität in Jamaika illegal sei und mit einer Gefängnisstrafe bestraft werde, sei es dem Beschwerdeführer nicht gelungen, eine persönliche und gezielte Verfolgung aufgrund seiner sexuellen Orientierung geltend zu machen.</w:t>
      </w:r>
    </w:p>
    <w:p>
      <w:r>
        <w:rPr>
          <w:b/>
        </w:rPr>
        <w:t>E. 4.2</w:t>
      </w:r>
    </w:p>
    <w:p>
      <w:r>
        <w:t>Demgegenüber hält der Beschwerdeführer in der Rechtsmitteleingabe fest, aufgrund der in Jamaika vorherrschenden sexuellen Diskriminierung müsse er um sein Leben fürchten. Auch habe er beim Brandanschlag auf sein Haus sein Hab und Gut verloren und verfüge in Jamaika über kein ausreichendes soziales Beziehungsnetz mehr. Zudem lebe er in der Schweiz mit einer Frau zusammen, die er demnächst heiraten wolle.</w:t>
      </w:r>
    </w:p>
    <w:p>
      <w:r>
        <w:rPr>
          <w:b/>
        </w:rPr>
        <w:t>E. 5.1</w:t>
      </w:r>
    </w:p>
    <w:p>
      <w:r>
        <w:t>Im vorliegenden Verfahren kommt das Gericht nach Prüfung der Akten zum Schluss, dass die in der Rechtsmitteleingabe gemachten Vorbringen nicht geeignet sind, etwas an den zutreffenden vorinstanzlichen Erwägungen zu ändern. Wie den Erwägungen der Vorinstanz zu entnehmen ist, wurde die Glaubhaftigkeit einiger Vorbringen des Beschwerdeführers zu Recht in Zweifel gezogen. So ist es auch für das Gericht nicht nachvollziehbar, warum der Beschwerdeführer sich nicht nach dem Zustand seines Partners - mit dem er gemäss eigenen Angaben seit eineinhalb Jahren eine Beziehung geführt haben will - erkundigt hat, obwohl er noch drei bis vier Wochen in der unmittelbaren Nähe seines Wohnortes gelebt habe. Auch ist der Vorinstanz beizupflichten, dass sich der Beschwerdeführer bei einigen wesentlichen Vorbringen widersprüchlich geäussert hat, als dass er beispielsweise aussagte, er sei - nachdem er bei seinem brennenden Haus eingetroffen sei - von Jugendlichen verfolgt worden, um später zu Protokoll zu geben, die Jugendlichen hätten ihn nicht gesehen. Schliesslich blieb der Brand des Hauses in der Befragung vom 5. September 2012 gänzlich unerwähnt. Unbesehen davon erübrigen sich bezüglich der Glaubhaftigkeit der Vorbringen - im Lichte der nachfolgenden Erwägungen - weitere Erörterungen.</w:t>
      </w:r>
    </w:p>
    <w:p>
      <w:r>
        <w:rPr>
          <w:b/>
        </w:rPr>
        <w:t>E. 5.2</w:t>
      </w:r>
    </w:p>
    <w:p>
      <w:r>
        <w:t>Währenddem gleichgeschlechtliche Beziehungen zwischen Männern gemäss Art. 76 des "Offences Against the Person Act" illegal sind und diese mit einer Haftstrafe von maximal 10 Jahren bestraft werden (vgl. zum Ganzen State Sponsored Homophobia. A World Survey of Laws prohibiting same sex Activity between Consenting Adults, ILGA, Mai 2009, S. 23; Amnesty International World Report 2012, Jamaica) und verschiedene Quellen von einer ganzen Reihe weiterer schwerer Menschenrechtsverletzungen gegenüber LGBT (lesbian, gay, bisexual and transgender) berichten (vgl. UK Border Agency, Operational Guidance Note Jamaica vom 10. Februar 2012, S. 9 f.; Immigration and Refugee Board of Canada, Jamaica: How police treat complaints made by lesbian, gay, bisexual, and transgender [LGBT] people [2007-2010] vom 10. Dezember 2010), hat sich die Situation des Beschwerdeführers im Vergleich zum Zeitpunkt der Einreichung des Asylgesuchs massgeblich verändert. Wie den vorliegenden Akten zu entnehmen ist, hat der Beschwerdeführer am (...) eine Frau geheiratet. Aufgrund der Ehe mit einer Frau entspricht der Beschwerdeführer heute, dem für den Asylentscheid massgeblichen Zeitpunkt, klar den Vorstellungen und Normen der jamaikanischen Gesellschaft, weshalb er aktuell keine begründete Furcht vor Verfolgung aufgrund seiner sexuellen Identität mehr glaubhaft zu machen vermag. Demzufolge erfüllt der Beschwerdeführer die Flüchtlingseigenschaft auch bei Wahrunterstellung seiner Vorbringen nicht, weshalb sein Asylgesuch zu Recht abgewiesen wurde.</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Gemäss vorliegender Aktenlage hat das Migrationsamt des D._______ dem Beschwerdeführer am (...) eine ausländerrechtliche Aufenthaltsbewilligung der Kategorie B ausgestellt. Mit der Erteilung einer Aufenthaltsbewilligung fallen die Anordnungen betreffend Wegweisung und Vollzug der Wegweisung in den Ziffern 3 bis 5 der angefochtenen Verfügung ohne weiteres dahin, da diese gegenüber dem neu erteilten Aufenthaltstitel keinen Bestand haben (vgl. Entscheidungen und Mitteilungen der Schweizerischen Asylrekurskommission [EMARK] 2001 Nr. 21 E. 11c S. 178, 2000 Nr. 30 E. 4 S. 251). Demzufolge ist der Anfechtungsgegenstand der Beschwerde, soweit die Wegweisung und deren Vollzug betreffend (Dispositivziffern 3 bis 5 der angefochtenen Verfügung), weggefallen und die Beschwerde dies­bezüglich als gegenstandslos geworden ab­zuschreiben.</w:t>
      </w:r>
    </w:p>
    <w:p>
      <w:r>
        <w:rPr>
          <w:b/>
        </w:rPr>
        <w:t>E. 7</w:t>
      </w:r>
    </w:p>
    <w:p>
      <w:r>
        <w:t>Aus diesen Erwägungen ergibt sich, dass die angefochtene Verfügung Bundesrecht nicht verletzt, den rechtserheblichen Sachverhalt richtig und vollständig feststellt und angemessen ist (Art. 106 Abs. 1 AsylG). Die Beschwerde ist folglich, soweit die Anordnung der Wegweisung und des Vollzugs der Wegweisung (Ziffern 3 bis 5 der angefochtenen Verfügung) als gegenstandslos geworden abzuschreiben. Soweit die Feststellung der Flüchtlingseigenschaft und die Gewährung von Asyl beantragt wird, ist die Beschwerde abzuweisen.</w:t>
      </w:r>
    </w:p>
    <w:p>
      <w:r>
        <w:rPr>
          <w:b/>
        </w:rPr>
        <w:t>E. 8</w:t>
      </w:r>
    </w:p>
    <w:p>
      <w:r>
        <w:t>Mit Verfügung vom 8. Februar 2012 wurde dem Beschwerdeführer die unentgeltliche Rechtspflege im Sinne von Art. 65 Abs. 1 VwVG unter Vorbehalt einer nachträglichen Veränderung der finanziellen Verhältnisse gewährt. Eine solche ist vorliegend nicht ersichtlich, weshalb entsprechend auf eine Kos­tenauflage zu verzichten ist (vgl. Art. 63 Abs. 1 VwVG i.V.m. Art. 37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