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D-6484/2012 vom 8. Januar 2013</w:t>
      </w:r>
    </w:p>
    <w:p>
      <w:r>
        <w:t>Bundesverwaltungsgericht, 2013-01-08, DE</w:t>
      </w:r>
    </w:p>
    <w:p>
      <w:r>
        <w:rPr>
          <w:b/>
        </w:rPr>
        <w:t xml:space="preserve">Quelle: </w:t>
      </w:r>
      <w:r>
        <w:t>https://mcp.opencaselaw.ch/entscheid/bvger_D-6484_2012</w:t>
      </w:r>
    </w:p>
    <w:p>
      <w:r>
        <w:t>FR: TAF D-6484/2012 du 8 janvier 2013</w:t>
      </w:r>
    </w:p>
    <w:p>
      <w:r>
        <w:t>IT: TAF D-6484/2012 del 8 gennaio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in casu nicht zutrifft - bei Vorliegen eines Aus­lieferungsgesuches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Vorliegend stellt sich die Frage, ob die Beschwerdeführerin am vorinstanzlichen Verfahren teilgenommen hat, gilt doch das Stellen eines Asylgesuchs als relativ höchstpersönliches Recht, das vertretungsfeindlich ist (BVGE 2011/39). Das Schreiben vom 26. Mai 2011, durch welches das erstinstanzliche Asylverfahren eingeleitet wurde, trägt lediglich die Unterschrift des Rechtsvertreters beziehungsweise angeblichen Ehemannes der Beschwerdeführerin, wobei damals das Vertretungsverhältnis nicht rechtsgenügend nachgewiesen war. Indes erachtete das BFM in der Folge den erforderlichen Nachweis in seinem Abschreibungsbeschluss vom 8. Mai 2012 als erbracht. Sodann ging beim BFM am 29. Mai 2012 ein von der Beschwerdeführerin persönlich unterzeichnetes Asylgesuch ein und reichte diese am 9. August 2012 eine ebenfalls persönlich unterzeichnete Stellungnahme zu dem ihr vom BFM betreffend ihre Vorbringen zugestellten Fragekatalog ein. Somit ist von einem persönlichen Auftreten vor einer schweizerischen Behörde auszugehen und die Legitimation zu bejahen. Auf die ansonsten frist- und formgerecht eingereichte Beschwerde (Art. 108 Abs. 1 AsylG und Art. 52 VwVG) ist nach dem Gesagten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weshalb der Beschwerdeentscheid nur summarisch zu begründen ist (Art. 111a Abs. 2 AsylG). Gestützt auf Art. 111a Abs. 1 AsylG wurde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unter anderem Art. 20 AsylG in der bisherigen Fassung gilt.</w:t>
      </w:r>
    </w:p>
    <w:p>
      <w:r>
        <w:rPr>
          <w:b/>
        </w:rPr>
        <w:t>E. 4.3.1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4.3.2</w:t>
      </w:r>
    </w:p>
    <w:p>
      <w:r>
        <w:t>Vorliegend wurde das Asylgesuch nicht bei einer schweizerischen Vertretung eingereicht. Trotzdem ist es von der Vorinstanz nach Treu und Glauben zu Recht als Asylgesuch aus dem Ausland entgegengenommen worden (vgl. BVGE 2011/39 E. 3).</w:t>
      </w:r>
    </w:p>
    <w:p>
      <w:r>
        <w:rPr>
          <w:b/>
        </w:rPr>
        <w:t>E. 4.3.3</w:t>
      </w:r>
    </w:p>
    <w:p>
      <w:r>
        <w:t>Auch wurde die Beschwerdeführerin nicht zu ihrem Asylgesuch befragt. Sie hat ihre Vorbringen jedoch bereits im Asylgesuch vom 26. Mai 2011 und der diesem folgenden Eingabe vom 23. Mai 2012 schriftlich dargelegt (vgl. Sachverhalt Bst. A und D). Ausserdem wurde ihr in der Folge mit Zwischenverfügung des BFM vom 25. Juli 2012 ein Katalog von für die vollständige Erstellung des rechtserheblichen Sachverhalts noch zu beantwortenden offenen Fragen zugestellt, wozu sie am 9. August 2012 schriftlich Stellung genommen hat (vgl. Sachverhalt Bst. E und F). Der entscheidwesentliche Sachverhalt er­scheint angesichts der schriftlichen Darlegung der Asylgründe soweit erstellt, dass die entscheidrelevanten Elemente vorliegen. Bei dieser Sachlage bestand keine Veranlassung, die Beschwerdeführerin vor­gängig eines Entscheides durch eine schweizerische Vertretung zu­sätzlich persönlich anhören zu lassen. Das BFM hat den verfahrens­rechtlichen Anforderungen damit Genüge getan.</w:t>
      </w:r>
    </w:p>
    <w:p>
      <w:r>
        <w:rPr>
          <w:b/>
        </w:rPr>
        <w:t>E. 4.4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4.5</w:t>
      </w:r>
    </w:p>
    <w:p>
      <w:r>
        <w:t>Das BFM führte zur Begründung seiner Verfügung im Wesentlichen aus, aus den Akten ergäben sich verschiedene Ungereimtheiten betreffend die gesuchstellende Person. So habe ihr Rechtsvertreter im Rahmen seines eigenen Asylverfahrens vorgebracht, seine Ehefrau sei im Jahr (...) bei (...) ums Leben gekommen. Der Rechtsvertreter habe dazu Stellung genommen und es lägen keine Dokumente vor, welche belegen würden, dass es sich bei der Beschwerdeführerin um seine Ehefrau handle. Zudem habe die Beschwerdeführerin noch in ihrem Schreiben vom 23. Mai 2012 darauf verwiesen, dass sie sich in E._______ aufhalte, wogegen sie sich gemäss ihrem Schreiben vom 9. August 2012 bereits seit (...) ohne richtige Unterkunft (...) aufgehalten habe. Indes könne darauf verzichtet werden, vertieft auf die Unglaubhaftigkeitselemente einzugehen. Gemäss ständiger Praxis der schweizerischen Asylbehörden könne eine Einreisebewilligung in die Schweiz nur dann erteilt werden, wenn mit überwiegender Wahrscheinlichkeit von einer akuten Gefährdung der gesuchstellenden Person bei einem Verbleib in ihrem Heimat- oder Aufenthaltsstaat ausgegangen werden müsse. Eine solche sei vorliegend nicht gegeben. Ohne die Situation im Somalia bagatellisieren zu wollen, sei dem BFM bekannt, dass noch immer Teile Somalias von Kampfhandlungen zwischen Kräften der Übergangsregierung und verschieden Milizen betroffen seien. Die allgemeine Unsicherheit, die als unausweichliche Folge dieses Konflikts in gewissen Teilen des Landes herrsche, betreffe jedoch die gesamte somalische Bevölkerung in gleichem Masse. Gemäss konstanter Praxis gälten Bürgerkriegssituationen nicht als Asylgründe. Den Akten könnten keine Hinweise entnommen werden, dass Familienangehörigen des Rechtsvertreters zum heutigen Zeitpunkt Verfolgungsmassnahmen aus einem der in Art. 3 AsylG genannten Gründen drohen könnten. Abgesehen von einer angeblichen Verletzung im Jahr 2009 sowie Drohungen und Geldforderungen sei es während der vergangenen drei Jahre offensichtlich zu keinen konkreten Übergriffen gekommen. Das BFM gehe davon aus, dass seitens der Al-Shabaab kein ernsthaftes Verfolgungsinteresse bestehe. Darüber hinaus sei die Al-Shabaab in den vergangenen Monaten aus verschiedenen Gebieten Somalias vertrieben worden, womit es der Beschwerdeführerin möglich sei, sich dorthin zu ihren Familienangehörigen zu begeben. Zusammenfassend sei sie nicht schutzbedürftig im Sinne des AsylG. Schliesslich bleibe bei Nichterteilung einer Einreisbewilligung gemäss ständiger Praxis des BFM zu prüfen, ob aufgrund von Beziehungen zu in der Schweiz lebenden Familienangehörigen allenfalls die Voraussetzungen für einen Familiennachzug (Art. 51 AsylG) erfüllt seien. Dieser richte sich bei vorläufig aufgenommenen Personen nach Art. 85 Abs. 7 des Bundesgesetzes vom 16. Dezember 2005 über die Ausländerinnen und Ausländer (AuG, SR 142.20), gemäss welcher Bestimmung Ehegatten und minderjährige Kinder solcher Personen frühestens drei Jahre nach Anordnung der vorläufigen Aufnahme nachgezogen und in diese eingeschlossen werden könne (vgl. BVGE 2007/19). Diese Voraussetzung sei in casu nicht erfüllt</w:t>
      </w:r>
    </w:p>
    <w:p>
      <w:r>
        <w:rPr>
          <w:b/>
        </w:rPr>
        <w:t>E. 4.6</w:t>
      </w:r>
    </w:p>
    <w:p>
      <w:r>
        <w:t>Die Beschwerde beschränkt sich sinngemäss auf eine Wieder­holung der bisherigen Vorbringen. Zusätzlich wird ausgeführt, die Be­schwerdeführerin habe im erstinstanzlichen Verfahren versehentlich vorgebracht, dass sie im (...) von E._______ nach I._______ geflohen sei. Vielmehr sei diese Flucht im (...) erfolgt, als es in E._______ zu Kampfhandlungen zwischen den Regierungstruppen und der Al-Shabaab gekommen sei. Im Übrigen habe der Rechtsver­treter erst im Nachhinein erfahren, dass die Beschwerdeführerin beim (...) zwar verletzt, aber nicht getötet worden sei. Die Al-Shabaab kontrolliere alle kleinen Dörfer rund um H._______, weshalb es der Beschwerde­führerin nicht möglich wäre, dorthin zu gelangen beziehungsweise sie würde dabei festgenommen, vergewaltig oder getötet.</w:t>
      </w:r>
    </w:p>
    <w:p>
      <w:r>
        <w:rPr>
          <w:b/>
        </w:rPr>
        <w:t>E. 4.7</w:t>
      </w:r>
    </w:p>
    <w:p>
      <w:r>
        <w:t>Eine Überprüfung der Akten ergibt, dass die Vorinstanz im Ergebnis zu Recht die Einreise in die Schweiz nicht bewilligt und das Asylgesuch aus dem Ausland abgelehnt hat. Namentlich erwog sie in der angefochtenen Verfügung zutreffend, die Vorbringen der Beschwerdeführerin genügten den Anforderungen an eine Verfolgung im Sinne von Art. 3 AsylG nicht. Diesbezüglich wird auf E. 4.5 verwiesen. Daran vermögen die zusätzlichen Ausführungen in der Beschwerde nichts zu ändern. Was schliesslich die Beziehungen zu in der Schweiz lebenden Familienangehörigen anbelangt, ist aufgrund der Aktenlage alles andere als rechtsgenügend erstellt, dass es sich beim Rechtsvertreter der Beschwerdeführerin, wie von diesem geltend gemacht, um deren Ehegatten im Sinne von Art. 51 Abs. 1 AsylG handelt. Die erforderliche Beziehungsnähe zur Schweiz ist mithin bereits aus diesem Grund zu verneinen, weshalb es sich vorliegend erübrigt, auf die vorinstanzlichen Erwägungen in diesem Zusammen­hang einzugehen.</w:t>
      </w:r>
    </w:p>
    <w:p>
      <w:r>
        <w:rPr>
          <w:b/>
        </w:rPr>
        <w:t>E. 4.8</w:t>
      </w:r>
    </w:p>
    <w:p>
      <w:r>
        <w:t>Zusammenfassend ist festzustellen, dass es der Beschwerde-führerin nicht gelungen ist, eine aktuelle Verfolgung im Sinne von Art. 3 AsylG darzulegen. Es erübrigt sich, auf weitere Vorbringen in der Be­schwerde einzugehen, da diese keine neuen Begründungselemente enthält, welche geeignet wären, die Einschätzung des BFM ent­scheidend zu relativieren. Das BFM hat demnach der Beschwerde­führerin zu Recht die Einreise in die Schweiz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Damit ist das Gesuch um Gewährung der unentgeltlichen Prozessführung gegenstandslos geworden. Dasselbe gilt aufgrund des direkten Entscheids für das Gesuch um Verzicht auf die Erhebung eines Kostenvorschusses, weshalb über diese beiden Gesuch nicht zu befinden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