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D-6483/2010 vom 2. Februar 2011</w:t>
      </w:r>
    </w:p>
    <w:p>
      <w:r>
        <w:t>Bundesverwaltungsgericht, 2011-02-02, DE</w:t>
      </w:r>
    </w:p>
    <w:p>
      <w:r>
        <w:rPr>
          <w:b/>
        </w:rPr>
        <w:t xml:space="preserve">Quelle: </w:t>
      </w:r>
      <w:r>
        <w:t>https://mcp.opencaselaw.ch/entscheid/bvger_D-6483_2010</w:t>
      </w:r>
    </w:p>
    <w:p>
      <w:r>
        <w:t>FR: TAF D-6483/2010 du 2 février 2011</w:t>
      </w:r>
    </w:p>
    <w:p>
      <w:r>
        <w:t>IT: TAF D-6483/2010 del 2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Beschwerdeschrift wird in formeller Hinsicht gerügt, dass das Bundesamt unvollständig Akteneinsicht gewährt habe. Mit Ver­fügung vom 12. Juli 2010 habe das BFM der Beschwerdeführerin das rechtliche Gehör betreffend die Botschaftsabklärung gewährt. Gleichzeitig habe das BFM die Einsicht in den Botschaftsbericht (A13/5) verweigert. Mit den Verfügungen vom 13. August 2010 be­ziehungsweise vom 2. September 2010 habe das BFM die Einsicht in den entsprechenden Botschaftsbericht erneut verweigert. Es stehe jedoch fest, dass diesbezüglich keine Gründe bestünden, diese Akteneinsicht zu verweigern. Es entspreche der Praxis des Bundes­verwaltungsgerichts und werde in der Regel auch vom BFM so ge­handhabt, die Einsicht in die Botschaftsantwort zu gewähren. Die Wichtigkeit der Botschaftsabklärung ergebe sich auch daraus, dass das BFM davon ausgehe, dass die Beschwerdeführerin Syrien legal verlassen habe. Die Einsicht in die Botschaftsberichte werde zeigen, ob darin ausdrücklich die angeblich "legale" Ausreise erwähnt sei. Betreffend der Rüge der rechtswidrigen Verweigerung der Einsicht in die Akte A 12/3 sei Folgendes festzuhalten: Es sei nicht ersichtlich, worum es sich bei diesem Ereignisprotokoll handle; es sei anzunehmen, dass es sich dabei um eine entscheidwesentliche Akte handle, weshalb auch diesbezüglich Einsicht zu gewähren sei. Falls wider Erwarten aus Geheimhaltungsgründen nicht Einsicht in die erwähnten Akten gewährt werden könne, wäre zwingend das rechtliche Gehör zum Inhalt dieser Akten zu gewähren.</w:t>
      </w:r>
    </w:p>
    <w:p>
      <w:r>
        <w:rPr>
          <w:b/>
        </w:rPr>
        <w:t>E. 4.2</w:t>
      </w:r>
    </w:p>
    <w:p>
      <w:r>
        <w:t>Im Rahmen der Botschaftsabklärung hat sich die Vorinstanz bei der Anwendung von Art. 27 und 28 VwVG an den durch die Rechtsprechung festgelegten Umfang gehalten (siehe in diesem Zu­sammenhang Urteil des Bundesverwaltungsgerichts E-3583/2009 vom 28. September 2009 E. 4.5.3 S. 11; EMARK 1994 Nr. 26, EMARK 1994 Nr. 1). Insbesondere wurde das Erfordernis von Art. 28 VwVG erfüllt, wonach, falls einer Partei die Einsichtnahme in ein Aktenstück verweigert wird, auf dieses nur dann abgestellt werden darf, wenn ihr die Behörde von seinem für die Sache wesentlichen Inhalt mündlich oder schriftlich Kenntnis und ausserdem Gelegenheit gegeben hat, sich zu äussern und Gegenbeweismittel zu nennen. Im vorliegenden Fall wurden die Antworten vom 10. Februar 2010 auf die Anfrage des BFM vom 1. Dezember 2009 (wovon die Beschwerdeführerin eine Kopie erhalten hat) vollständig und korrekt wiedergegeben. Weggelassen wurden lediglich die Hinweise zu den mit der Abklärung betrauten Personen, welches Vorgehen durch die in Art. 27 VwVG genannten Geheimhaltungsgründe abgedeckt ist. Es liegt demnach keine Verletzung von Art. 26 VwVG vor, und das auf Beschwerde­ebene gestellte Akteneinsichtsgesuch beziehungsweise Ge­such um Gewährung des rechtlichen Gehörs ist abzuweisen.</w:t>
      </w:r>
    </w:p>
    <w:p>
      <w:r>
        <w:rPr>
          <w:b/>
        </w:rPr>
        <w:t>E. 4.3</w:t>
      </w:r>
    </w:p>
    <w:p>
      <w:r>
        <w:t>Die Beschwerdeführerin liess ferner rügen, dass ihr in die Akte A12/3 (interne Akte) keine Einsicht gewährt wurde. Grundsätzlich hat eine Partei ein Gesuch um Akteneinsicht zu stellen, damit überhaupt die Einsichtnahme gewährt oder verweigert werden kann. Dies bedingt allerdings, dass die Beteiligten über den Beizug neuer entscheidwesentlicher Akten informiert werden, welche diese nicht kennen und auch nicht kennen können (BGE 132 V 387 E. 6.2 S. 391; BGE 124 II 132 E.2b S. 137; BGE 114 Ia 97 E. 2c S. 100). Das Akteneinsichtsrecht bezieht sich auf sämtliche verfahrensbezogene Akten, die geeignet sind, Grundlage des Entscheids zu bilden. Die Akteneinsicht ist demnach auch zu gewähren, wenn die Ausübung des Akteneinsichtsrechts den Entscheid in der Sache nicht zu beeinflussen vermag. Es muss dem Betroffenen selber überlassen sein, die Relevanz der Akten zu beurteilen (BGE 132 V 387 E. 3.2 S. 389 mit Hinweis).Hingegen besteht nach der Praxis des Bundesgerichts weder nach der Akten­einsichtsordnung des VwVG noch auf Grund des verfassungs­mässigen Mindestschutzes gemäss Art. 29 Abs. 2 der Bundes­verfassung der Schweizerischen Eidgenossenschaft vom 18. April 1999 (BV, SR 101) ein Anspruch auf Einsicht in verwaltungsinterne Akten (vgl. Urteil des Bundesgerichts vom 17. Februar 2005 i.S. X, 1A.19/2005, E. 14.2; Urteil des Bundes­gerichts vom 1. Oktober 2004 i.S. Swisscom und andere, 2A.58712003, E. 7.3; BGE 125 II 473 E. 4a S. 474 f., mit Hinweis auf BGE 115 V 297 E. 2g S. 303 ff.).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an die Öffentlichkeit ausgebreitet wird. Die ARK hatte sich in konstanter Praxis an diese Rechtsprechung angelehnt (vgl. Entscheidungen und Mitteilungen der Schweizerischen Asylrekurskommission [EMARK] 1994 Nr. 26 E. 2d.aa S. 192). Das Bundesverwaltungsgericht sieht keinen Anlass im vorliegenden Fall von dieser Praxis abzuweichen. Beim Aktenstück A12/3 handelt es sich um eine kurze Aktennotiz, wonach die Beschwerdeführerin am 18. Dezember 2009 in der EVZ B._______ vorgesprochen und erklärt habe, sie wolle ihr Asylgesuch zurückziehen. Einen Tag später habe sie es sich wieder anders überlegt. In der angefochtenen Verfügung wurde dieser Umstand unter Angabe des Aktenstücks unter Erwägung 2 erwähnt. Indem das BFM den im Aktenstück A12/3 aufgeführten Sachverhalt in der Verfügung erwähnt hat, das Aktenstück A12/3 jedoch trotz Verwendung in der angefochtenen Verfügung als interne Akte qualifiziert und der Beschwerdeführerin die Akteneinsicht verweigert hat, hat das BFM - wie in der Be­schwerde zu Recht gerügt wird - den Anspruch auf rechtliches Gehör der Be­schwer­deführerin verletzt. Es hat jedoch, wie oben dargelegt, den dem Aktenstück zugrunde liegenden Sachverhalt in der Verfügung dargelegt, so dass die Beschwerdeführerin in Kenntnis der diesbezüglichen Beurteilung des BFM darüber befinden konnte, ob sie gegen die Verfügung vom 9. August 2010 Beschwerde erheben wollte oder nicht. Somit war die Beschwerdeführerin in der Lage im Rahmen der Be­schwerde spezifisch auf die diesbezüglichen Vorhalte des BFM einzu­gehen, und sie hat denn auch in ihrer Eingabe unter Art. 12 explizit zu ihrem Plan, die Schweiz freiwillig verlassen zu wollen, Stellung genommen. Die Verletzung des rechtlichen Gehörs ist für die Beschwerdeführerin insofern letztlich nicht mit einem schwerwiegenden Nachteil verbunden gewesen. Es besteht deshalb kein Anlass, die angefochtenen Verfügung aufzuheben und die Sache an das Bundesamt zur Neubeurteilung zurückzuweisen (vgl. BVGE 2008/47 E. 3.3.4 S. 676 f.).</w:t>
      </w:r>
    </w:p>
    <w:p>
      <w:r>
        <w:rPr>
          <w:b/>
        </w:rPr>
        <w:t>E. 4.4</w:t>
      </w:r>
    </w:p>
    <w:p>
      <w:r>
        <w:t>Zur Frage, ob das BFM im angefochtenen Entscheid die Be­gründungspflicht verletzt hat, ist folgendes festzuhalten:Einerseits ist die Begründung in der an­gefochtenen Verfügung nach­vollzieh- und damit sachgerecht anfecht­bar - ­was noch nichts über die Stimmigkeit der Begründung aussagt - anderseits tragen die Aus­führungen in Beschwerdeeingabe nichts zur Klärung der Unstimmig­keiten zwischen den Aussagen der Be­schwerdeführerin und den Ab­klärungen der Schweizer Vertretung bei.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[5A.20/2003]; ferner BGE 127 l 54 E. 2b S. 56, BGE 122 V 157 E. 1d S. 162, BGE 119 V 335 E. 2c S. 344). Gestützt auf die Ergebnisse der Botschaftsabklärung, durfte die Vorinstanz von weiteren Beweis­erhebungen absehen.</w:t>
      </w:r>
    </w:p>
    <w:p>
      <w:r>
        <w:rPr>
          <w:b/>
        </w:rPr>
        <w:t>E. 4.5</w:t>
      </w:r>
    </w:p>
    <w:p>
      <w:r>
        <w:t>Bei dieser Sachlage führen zusätzliche Ab­klärungen im vor­liegenden Beschwerdeverfahren nicht zu neuen sach­dienlichen Er­kenntnissen, weshalb auf Beschwerdeebene auf weitere Beweis­erhebungen verzichtet wird.</w:t>
      </w:r>
    </w:p>
    <w:p>
      <w:r>
        <w:rPr>
          <w:b/>
        </w:rPr>
        <w:t>E. 5.1</w:t>
      </w:r>
    </w:p>
    <w:p>
      <w:r>
        <w:t>Auch die weiteren Vorbringen in der Rechtsmitteleingabe vom 9. September 2010 sind nicht geeignet, eine Änderung der vorinstanz­lichen Verfügung zu bewirken. Weder besteht für das Bundesver­waltungsgericht Veranlassung, an der Richtigkeit der Abklärungen der Schweizerischen Botschaft in Damaskus zu zweifeln, noch nach Überprüfung der Akten die Erwägungen des BFM bezüglich der Unglaubhaftigkeit der geltend gemachten Verfolgung zu beanstanden. Der Schweizerischen Botschaft in Syrien ist es über Ver­bindungsleute möglich, eine behördliche Suche festzustellen (vgl. Urteil des Bundesverwaltungsgerichts E-823/2009 vom 13. März 2009 E. 5.1). Dabei ist es nicht notwenig, die Verbindungsleute über den Kontext, in dem die Fragen gestellt werden, ins Bild zu setzen, wes­halb eine Ge­fährdung von Personen, deren Daten er­hoben werden, weitestgehend ausgeschlossen werden kann. Soweit in der Beschwerdeschrift den Abklärungen im Auftrag der Schweizer Botschaft in Damaskus generell der Beweiswert abgesprochen wird, ist diese pauschale Kritik zurückzuweisen. Das Bundesverwaltungsgericht sieht keinen Anlass, an der Seriosität der Abklärungen durch die von der Schweizer Vertretung beauftragten Vertrauenspersonen zu zweifeln. Selbst wenn sich in Einzelfällen bestimmte erlangte Informationen als unzutreffend oder ungenau erweisen mögen, heisst dies keineswegs, dass derartige Recherchen zum vornherein als Beweismittel untauglich sind. Im vorliegenden Fall hat sich bei der Auskunft der Botschaft über die Umstände der Ausreise der Beschwerdeführerin in die Türkei möglicherweise eine falsche Namensangabe in Bezug auf ihre Begleitperson ("F._______") ergeben (was allerdings auch nicht sicher feststeht, da nicht belegt ist, dass ihre leibliche Mutter tatsächlich verstorben ist und daher nicht mit ausgereist sein kann). Doch selbst unter der Annahme, dass bei der Bezeichnung der Begleitperson eine Namensverwechslung vorgelegen hat, käme diesem Element angesichts der bestätigten Hauptaussage - der Ausreise der Familie in die Türkei - bloss eine nebensächliche Bedeutung zu. Entscheidend ist, dass die Beschwerdeführerin eigenen An­gaben zufolge (vgl. A9/13 S. 4 F.13) sowie gemäss Auskunft der Schweizerischen Botschaft in Damaskus legal aus Syrien in die Türkei ausgereist ist, was gegen eine asylrechtlich relevante Gefährdung der Beschwerdeführerin spricht. Eine be­gründete Furcht vor aktueller Ver­folgung vermag sie nicht glaubhaft darzulegen. Nach dem Gesagten erfüllt die Beschwerdeführerin die Flüchtlingseigenschaft gemäss Art. 3 AsylG nicht.</w:t>
      </w:r>
    </w:p>
    <w:p>
      <w:r>
        <w:rPr>
          <w:b/>
        </w:rPr>
        <w:t>E. 5.2</w:t>
      </w:r>
    </w:p>
    <w:p>
      <w:r>
        <w:t>Aufgrund der vorstehenden Erwägungen erübrigt es sich, auf die weiteren Ausführungen in der Eingabe der Beschwerdeführerin im Einzelnen einzugehen, da sie am Ergebnis der vorgenommenen Würdigung nichts zu ändern vermögen. Das Bundesamt hat das Asylgesuch der Beschwerdeführerin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Syrien ist demnach unter dem Aspekt von Art. 5 AsylG rechtmässig. Sodann ergeben sich weder aus den Aussagen der Beschwerde­führerin noch aus den Akten Anhaltspunkte dafür, dass sie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Syrien herrscht zur Zeit keine Situation allgemeiner Gewalt, weshalb in konstanter Praxis von der generellen Zumutbarkeit des Wegweisungsvollzugs ausgegangen wird. In den Akten finden sich auch keine Anhaltspunkte dafür, dass die Beschwerdeführerin aus individuellen Gründen wirtschaftlicher, sozialer oder gesundheitlicher Natur in eine existenzbedrohende Situation geraten würde. Die Be­schwerdeführerin konnte in Syrien unbehelligt das Gymnasium be­suchen und mit der Matur abschliessen. Eigenen Angaben zufolge verfügt sie in Syrien über ein tragfähiges familiäres Beziehungsnetz, dass sie bei Bedarf zurückgreifen kann. Insgesamt bestehen daher keine konkreten Anzeichen dafür, dass die Beschwerdeführerin bei einer Rückkehr in ihr Heimatland in eine existenzielle Notlage geraten würde, weshalb der Vollzug der Wegweisung zumutbar ist.</w:t>
      </w:r>
    </w:p>
    <w:p>
      <w:r>
        <w:rPr>
          <w:b/>
        </w:rPr>
        <w:t>E. 7.6</w:t>
      </w:r>
    </w:p>
    <w:p>
      <w:r>
        <w:t>Schliesslich obliegt es der Beschwerdeführerin, sich bei der zu­ständigen Vertretung Syriens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Aufgrund des Ausgang des Verfahrens wären der Beschwerdeführerin die gesamten Kosten aufzuerle­gen (Art. 37 VGG i.V.m. Art. 63 Abs. 1 VwVG). Zu berücksichtigen ist je­doch, dass die Rüge, das BFM habe das Recht der Beschwerde­führerin auf rechtliches Gehör verletzt, nicht unbegründet ist. Von der Kas­sation der angefochtenen Verfügung ist lediglich des­halb abzu­se­hen, weil die festgestellte Verletzung von Bundesrecht für die Be­schwer­deführerin letztlich mit keinen erheb­lichen Nachteilen ver­bunden war und diese deshalb als nicht schwer­wiegend zu beurteilen ist. Es rechtfertigt sich unter diesen Umständen, der Beschwerdefüh­rerin kei­ne Verfahrenskosten aufzuerlegen (BVGE 2007/9 E. 7.2 S. 109.).</w:t>
      </w:r>
    </w:p>
    <w:p>
      <w:r>
        <w:rPr>
          <w:b/>
        </w:rPr>
        <w:t>E. 11</w:t>
      </w:r>
    </w:p>
    <w:p>
      <w:r>
        <w:t>Unter diesem Umständen ist der Beschwerdeführerin zudem für die ihr im Beschwerdeverfahren er­wachsenen not­wendigen Kosten eine Parteientschädi­gung zuzu­spre­chen (vgl. Art. 64 Abs. 1 VwVG, Art. 16 Abs. 1 Bst. a VGG i.V.m. Art. 7 Abs. 1 des Re­gle­ments vom 21. Fe­bruar 2008 über die Kosten und Entschädigun­gen vor dem Bundesver­waltungsgericht [VGKE, SR 173.320.2]). Der Rechtsvertrete­r hat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Bundesamt mithin anzuweisen, der Beschwerdeführerin eine Parteientschädigung in der Höhe von pauschal Fr. 900.--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