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D-6480/2015 vom 19. November 2015</w:t>
      </w:r>
    </w:p>
    <w:p>
      <w:r>
        <w:t>Bundesverwaltungsgericht, 2015-11-19, DE</w:t>
      </w:r>
    </w:p>
    <w:p>
      <w:r>
        <w:rPr>
          <w:b/>
        </w:rPr>
        <w:t xml:space="preserve">Quelle: </w:t>
      </w:r>
      <w:r>
        <w:t>https://mcp.opencaselaw.ch/entscheid/bvger_D-6480_2015</w:t>
      </w:r>
    </w:p>
    <w:p>
      <w:r>
        <w:t>FR: TAF D-6480/2015 du 19 novembre 2015</w:t>
      </w:r>
    </w:p>
    <w:p>
      <w:r>
        <w:t>IT: TAF D-6480/2015 del 19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5.1</w:t>
      </w:r>
    </w:p>
    <w:p>
      <w:r>
        <w:t>Das SEM hat die vom Beschwerdeführer vorgebrachten Asylgründe als den Anforderungen an die Glaubhaftigkeit gemäss Art. 7 AsylG nicht genügend erachtet. Dieser Einschätzung ist im Ergebnis beizupflichten. Zur Vermeidung von Wiederholungen kann auf die nicht zu beanstandenden Ausführungen in der angefochtenen Verfügung verwiesen werden. Der Rechtsmitteleingabe vom 12. Oktober 2015 sind keine stichhaltigen Entgegnungen zu entnehmen, welche die Argumentation des SEM in Zweifel zu ziehen vermöchten. Dem Beschwerdeführer wurde bereits mit Zwischenverfügung vom 21. Oktober 2015 dargelegt, weshalb seine Vorbringen in der Rechtsmitteleingabe keine Änderung in der Frage der Flüchtlingseigenschaft und des Asyls (und des Wegweisungsvollzugs) zu bewirken vermögen. Eine Änderung der Sachlage ist auch mit der Beschwerdeergänzung vom 2. November 2015 nicht eingetreten, so dass ebenfalls auf die besagte Zwischenverfügung verwiesen werden kann.</w:t>
      </w:r>
    </w:p>
    <w:p>
      <w:r>
        <w:rPr>
          <w:b/>
        </w:rPr>
        <w:t>E. 5.2</w:t>
      </w:r>
    </w:p>
    <w:p>
      <w:r>
        <w:t>Der Beschwerdeführer ist den Nachweis seiner Identität bis heute schuldig geblieben. Obwohl er anlässlich seiner Befragung im Empfangs- und Verfahrenszentrum C._______ vom 19. Februar 2014 angab, er werde die Identitätskarte, über die er verfüge und die er bei den Eltern zurückgelassen habe, nachreichen (vgl. vorinstanzliche Akten A4 S. 5), und diese Absicht im Rahmen der Anhörung durch das BFM vom 3. März 2014 bekräftigte (vgl. A9 S. 2 F4), sind dieser Ankündigung keine Taten gefolgt. Dieses Versäumnis ist nicht nachvollziehbar, zumal der Beschwerdeführer wiederholt mit seinen Angehörigen im Heimatland in Kontakt gestanden habe und diese ihm verschiedentlich anderweitige Dokumente hätten zukommen lassen. Der Einwand des Beschwerdeführers in der Rechtsmitteleingabe vom 12. Oktober 2015, wonach er keine Identitätskarte einreichen könne, da er keine solche besitze und auch nie eine benötigt habe, vermag nicht zu überzeugen. Er setzt sich damit vielmehr in Widerspruch zu seinen früheren Angaben, sehr wohl über eine Identitätskarte zu verfügen (vgl. A4 S. 5 und A9 S. 2 F4), womit er seine Glaubwürdigkeit selbst unterminiert. Der mit der Rechtsmitteleingabe vorgelegte Studentenausweis ist - ebenso wie die nachgereichten Quittungen für Studiengebühren und die Foto sowie die zuvor im Wiedererwägungsverfahren eingereichten Dokumente [Geburtsurkunde und Bachelor-Zertifikat] - nicht zum Nachweis seiner Identität geeignet, zumal es sich dabei, ungeachtet der Frage der Echtheit des Dokuments, nicht um ein rechtsgenügliches Identitätspapier handelt. Nur Dokumente, welche von den heimatlichen Behörden zum Zweck des Identitätsnachweises ausgestellt worden sind, d. h. die Identität zweifelsfrei belegen, stellen rechtsgenügliche Identitätspapiere dar; diese Anforderungen erfüllen grundsätzlich nur Reisepässe und Identitätskarten, nicht aber zu anderen Zwecken ausgestellte Dokumente wie Führerausweise, Berufs- und Schulausweise sowie Geburtsurkunden (vgl. BVGE 2007/7 E. 4-6 [S. 58 ff.]). Der fehlende Nachweis der Identität des Beschwerdeführers verunmöglicht die Überprüfung der eingereichten Beweismittel; es ist nicht feststellbar, ob sich diese überhaupt auf ihn beziehen, weshalb sie keine Beweiskraft zu entfalten vermögen. Der Zeitungsartikel vom 5. Januar 2014 bezieht sich im Übrigen nicht auf die Unruhen in Bangladesch im Januar 2015, sondern die dortigen Ereignisse im Januar 2014, die Gegenstand des ersten Asylverfahrens waren. Der Beschwerdeführer vermochte die im Rahmen des ersten Asylverfahrens (und des Wiedererwägungsverfahrens) vorgebrachten Verfolgungsvorbringen nicht glaubhaft darzulegen. Mit den neuen Verfolgungsvorbringen im Asylgesuch vom 10. Juni 2015, wegen angeblicher Teilnahme an Unruhen in Bangladesch im Januar 2015 erneut behördlich gesucht zu werden, vermag er ebenfalls keine asylrechtlich relevante Verfolgung im Sinne von Art. 3 AsylG glaubhaft zu machen, zumal diese kausal auf den Fluchtgründen (angebliche Probleme vor der Ausreise aus Bangladesch im Januar 2014) aufbauen, die bereits Gegenstand der abschlägigen Würdigung im ersten Asylverfahren waren. Die Erklärung des Beschwerdeführers in der Rechtsmitteleingabe vom 12. Oktober 2015 für die behördliche Suche wegen angeblicher Unruhestiftung in Bangladesch im Januar 2015 trotz seiner damaligen Landesabwesenheit, wonach diese Ausdruck des Umgangs der Regierung mit Oppositionellen sei, vermag nicht zu überzeugen. Im Übrigen hat das SEM zutreffend darauf hingewiesen, dass es nicht nachvollziehbar ist, weshalb die Familie den Beschwerdeführer erst Mitte 2015 über die behördliche Suche informiert hat, wenn der entsprechende FIR doch bereits vom (...) 2015 datiert.</w:t>
      </w:r>
    </w:p>
    <w:p>
      <w:r>
        <w:rPr>
          <w:b/>
        </w:rPr>
        <w:t>E. 5.3</w:t>
      </w:r>
    </w:p>
    <w:p>
      <w:r>
        <w:t>Dem Beschwerdeführer ist es aufgrund des Gesagten nicht gelungen, die Flüchtlingseigenschaft gemäss Art. 3 AsylG nachzuweisen oder zumindest glaubhaft zu machen. Das SEM hat das Asylgesuch vom 10. Juni 2015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Zwar ist die allgemeine Menschenrechtslage in Bangladesch in verschiedener Hinsicht als problematisch zu bezeichnen (vgl. hierzu das als Referenzurteil publizierte Urteil D-3778/2013 vom 16. Juli 2015 E. 7.2.2). Es sind aber keine gewichtigen Indizien dafür vorhanden, dass dem Beschwerdeführer, der keine asylrechtlich beachtliche Verfolgung darzulegen vermochte, bei einer Rückkehr in sein Heimatland eine menschenrechtswidrige Behandlung drohen würde.</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Bangladesch herrscht keine Situation allgemeiner Gewalt, die zur Annahme führen müsste, jede dorthin zurückkehrende Person sei mit erheblicher Wahrscheinlichkeit konkret gefährdet. Der Wegweisungsvollzug ist daher generell zumutbar (vgl. hierzu die aktuelle Lageanalyse in dem als Referenzurteil publizierten Urteil D-3778/2013 vom 16. Juli 2015 E. 8.4.1-8.4.6).</w:t>
      </w:r>
    </w:p>
    <w:p>
      <w:r>
        <w:rPr>
          <w:b/>
        </w:rPr>
        <w:t>E. 7.3.2</w:t>
      </w:r>
    </w:p>
    <w:p>
      <w:r>
        <w:t>Den Akten lassen sich auch keine konkreten Anhaltspunkte dafür entnehmen, dass der Beschwerdeführer aus individuellen Gründen wirtschaftlicher, sozialer oder gesundheitlicher Natur bei einer Rückkehr nach Bangladesch in eine existenzbedrohende Situation geraten würde. Der noch junge, ledige Beschwerdeführer, der keine wesentlichen gesundheitlichen Beeinträchtigungen vorbrachte und gemäss eigenen Angaben bis zur Ausreise Ende Januar 2014 immer mit seiner Familie in B._______ gelebt hat, verfügt über eine gute Bildung (...), erste Berufserfahrung in (...) und als (...) sowie ein intaktes familiäres Beziehungsnetz, auf das er bei der Rückkehr zurückgreifen kann (vgl. A4 S. 3 ff., A9 S. 2 f.). Damit darf insgesamt davon ausgegangen werden, dass er in der Lage sein wird, sich im Heimatland wieder zu integrieren und sich eine Existenzgrundlage aufzubauen. Allfällige anfängliche wirtschaftliche Reintegrationsschwierigkeiten stehen im Übrigen dem Vollzug nicht entgegen, da blosse soziale oder wirtschaftliche Schwierigkeiten, von denen die ansässige Bevölkerung betroffen ist, keine existenzbedrohende Situation zu begründen vermögen (vgl. BVGE 2010/41 E. 8.3.6 [S. 591 f.]).</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