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D-6480/2010 vom 10. Juli 2012</w:t>
      </w:r>
    </w:p>
    <w:p>
      <w:r>
        <w:t>Bundesverwaltungsgericht, 2012-07-10, DE</w:t>
      </w:r>
    </w:p>
    <w:p>
      <w:r>
        <w:rPr>
          <w:b/>
        </w:rPr>
        <w:t xml:space="preserve">Quelle: </w:t>
      </w:r>
      <w:r>
        <w:t>https://mcp.opencaselaw.ch/entscheid/bvger_D-6480_2010</w:t>
      </w:r>
    </w:p>
    <w:p>
      <w:r>
        <w:t>FR: TAF D-6480/2010 du 10 juillet 2012</w:t>
      </w:r>
    </w:p>
    <w:p>
      <w:r>
        <w:t>IT: TAF D-6480/2010 del 10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Das Bundesverwaltungsgericht entscheidet demnach endgültig.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die Aussagen der Beschwerdeführerin und des Beschwerdeführers B._______ würden massive Widersprüche aufweisen, so hinsichtlich der Dauer und des Zeitpunktes der Behelligungen durch Anhänger der K._______ sowie der Örtlichkeiten der Befragungen von B._______ respektive dessen Entführungen. Insbesondere die Schilderungen des Beschwerdeführers B._______ seien in verschiedenen Punkten stereotyp und unsubstanziiert, zumal zahlreiche Antworten in der vertieften Asylanhörung äusserst vage und knapp ausgefallen seien. Zudem sei es realitätsfremd, dass sich B._______ beispielsweise nicht mehr daran habe erinnern können, ob seine Mutter beim letzten Besuch der K._______ kurz vor der Ausreise anwesend gewesen sei oder nicht oder wie viel Zeit ungefähr zwischen dem zweitletzten und dem letzten Besuch der Angehörigen der K._______ vergangen gewesen sei. Aufgrund dieser - nicht abschliessend aufgezählten - Widersprüche und Ungereimtheiten könnten der Beschwerdeführerin und ihrem Sohn B._______ die geltend gemachte Verfolgung durch die K._______ und damit auch die Schikanen durch die Bevölkerung aufgrund des Spionageverdachts gegen den Ehemann respektive Vater nicht geglaubt werden. Auch die Ausführungen in der Stellungnahme vom 26. Juli 2010 vermöchten die aufgezeigten Widersprüche nicht aufzulösen. Darin werde angegeben, B._______ sei anlässlich seiner Erstbefragung und der direkten Anhörung unter Stress gestanden, weshalb er einige Dinge durcheinandergebracht habe. Präzisierend hätten die Beschwerdeführer vorgebracht, die Männer der K._______ seien (...) Monate nach der Entführung des Ehemannes respektive Vaters erstmals wieder gekommen, danach seien sie bis im (...) mehrmals aufgetaucht. In der Folge seien diese bis kurz vor der Ausreise im (...) nicht mehr gekommen. Die Männer hätten sie immer nachts aufgesucht. Zudem hätten die Angehörigen der K._______ B._______ zwei Mal in die Berge mitgenommen, als die Beschwerdeführerin nicht zu Hause gewesen sei. B._______ habe seiner Mutter aufgrund von Drohungen der K._______ nie von diesen beiden Vorfällen erzählt. Die Vorinstanz hielt dazu fest, dass diese Erklärungsversuche nicht zu überzeugen vermöchten. Die für B._______ zweifelsfrei stressige Anhörungssituation erkläre beispielsweise nicht, weshalb sich dieser nicht daran habe erinnern können, dass die Männer immer nachts vorbeigekommen seien, und demgegenüber eine derart präzise Angabe zur Tageszeit dieser Besuche ("immer zwischen 15 und 16 Uhr") gemacht habe. Zudem würden sich die Beschwerdeführerin und B._______ mit den Ausführungen in ihrer Stellungnahme hinsichtlich des Beginns respektive Endes der Behelligungen durch Angehörige der K._______ in neue Widersprüche verstricken. Es müsse als realitätsfremd erachtet werden, dass B._______ seiner Mutter nicht spätestens nach seiner Ausreise aus der Westbank davon erzählt habe, die Anhänger der K._______ hätten ihn auch mehrmals in die Berge mitgenommen und dort geschlagen. Vor diesem Hintergrund würden die Vorbringen der Beschwerdeführer den Anforderungen an die Glaubhaftigkeit nicht standhalten, so dass die Asylrelevanz nicht geprüft werden müsse.</w:t>
      </w:r>
    </w:p>
    <w:p>
      <w:r>
        <w:rPr>
          <w:b/>
        </w:rPr>
        <w:t>E. 3.2</w:t>
      </w:r>
    </w:p>
    <w:p>
      <w:r>
        <w:t>In ihrer Beschwerdeschrift rügen die Beschwerdeführer zunächst in formeller Hinsicht eine Verletzung der Begründungspflicht und somit des rechtlichen Gehörs, da das BFM in der angefochtenen Verfügung mehrere wesentliche Sachverhaltselemente (so die Drohung, den Ehemann respektive Vater zu ermorden, falls das Waffenversteck nicht preisgegeben werde; die Misshandlung von B._______ durch die Angehörigen der K._______ sowie dessen psychischen Probleme und die gesundheitlichen Probleme der Beschwerdeführerin) nicht berücksichtigt habe, obwohl diese Sachverhaltselemente aus dem Protokoll der direkten BFM-Anhörung ersichtlich geworden seien. Die Akten würden eindeutige Hinweise auf schwere psychische Probleme von B._______ enthalten, welche von der Vorinstanz im angefochtenen Entscheid zwingend hätten erwähnt werden müssen. Diese Unterlassung habe zur Folge, dass diese Probleme auch nicht hätten gewürdigt werden können, was zwingend die Aufhebung der angefochtenen Verfügung wegen schwerer Verletzung des rechtlichen Gehörs zur Folge habe. Weiter habe das BFM B._______ das rechtliche Gehör zu den angeblichen Widersprüchen zu den Aussagen der Beschwerdeführerin nicht korrekt gewährt. So sei das Schreiben des BFM vom 20. Juli 2010 ausdrücklich nur an die Beschwerdeführerin gerichtet gewesen, woran auch der Umstand nichts zu ändern vermöge, dass B._______ die in einer ihm fremden Sprache gehaltene Stellungnahme (Akte A22/3) ebenfalls mitunterschrieben habe. Es hätte sich vorliegend zwingend aufgedrängt, B._______ das rechtliche Gehör betreffend die angeblichen Widersprüche im Rahmen einer direkten Bundesanhörung ohne Anwesenheit seiner Mutter zu gewähren. Dieser habe anlässlich seiner Bundesanhörung ausdrücklich erklärt, ohne die Anwesenheit seiner Mutter befragt zu werden. Daher hätte ihm zwingend die Möglichkeit gegeben werden müssen, sich alleine und unabhängig von seiner Mutter zu diesen angeblichen Widersprüchen zu äussern. Die Beschwerdeführer seien unter diesen Umständen erneut anzuhören. In materieller Hinsicht sei es offensichtlich willkürlich, wenn die angebliche Unglaubhaftigkeit von komplizierten Vorbringen ausschliesslich mit Aussagen in einem völlig unbrauchbaren Protokoll begründet werde. B._______ habe sich insbesondere anlässlich der Anhörung in einem schlechten psychischen Gemütszustand befunden und sei in diesem Zeitpunkt erst (...)-jährig gewesen, wobei er sich zu Ereignissen habe äussern müssen, die bereits (...) Jahre zuvor vorgefallen seien. Die entsprechenden Befragungsprotokolle seien daher nicht verwendbar, weshalb es sich erübrige, auf die von der Vorinstanz angeführten angeblichen Widersprüche einzugehen. Zudem sei es absurd, wenn das BFM argumentiere, welches Verhalten für eine Person wie den jugendlichen Beschwerdeführer B._______ im Fall der erlittenen Verfolgung "nachvollziehbar" und "logisch" gewesen wäre. Es grenze an eine Zumutung, wenn die Vorinstanz behaupte, es sei davon auszugehen, dass B._______ seiner Mutter spätestens auf der Flucht von der Entführung in die Berge erzählt hätte. Weiter sei auffallend, dass das BFM in der angefochtenen Verfügung mit keinem Wort am eigentlichen Verschwinden des Ehemannes der Beschwerdeführerin Zweifel geäussert habe, zumal sich die angeblichen Unglaubhaftigkeitselemente ausschliesslich auf die Zeit nach der Verhaftung des Ehemannes respektive Vaters beziehen würden. Es sei daher von der glaubhaften Verhaftung desselben auszugehen. Sodann sei festzustellen, dass die Verfolgung durch die K._______ als asylrelevante Verfolgung durch Dritte zu qualifizieren sei. Eine begründete Furcht vor asylrelevanter Verfolgung im Fall der Rückkehr in die Westbank sei zu bejahen: So würden sie im Fall der Rückkehr erneut von der K._______ verfolgt und als Verräter illegal verhaftet und zum Verschwinden gebracht oder getötet. In diesem Zusammenhang sei darauf hinzuweisen, dass das Interesse der K._______ an B._______ mit dessen fortschreitendem Alter ständig zunehme, da er immer mehr als eigener Akteur wahrgenommen werde und als Sohn eines Spions mit dem Erwachsenwerden selber ins Visier der K._______ gerate.</w:t>
      </w:r>
    </w:p>
    <w:p>
      <w:r>
        <w:rPr>
          <w:b/>
        </w:rPr>
        <w:t>E. 3.3</w:t>
      </w:r>
    </w:p>
    <w:p>
      <w:r>
        <w:t>In ihrer Vernehmlassung vom 17. November 2010 hielt die Vorinstanz im Wesentlichen fest, dass die Beschwerdeschrift keine neuen erheblichen Tatsachen oder Beweismittel enthalte, welche eine Änderung ihres Standpunktes zu rechtfertigen vermöchten. Die Rechtfertigungsversuche im Zusammenhang mit den krass widersprüchlichen Sachverhaltsschilderungen seien auch bei Berücksichtigung des möglicherweise angeschlagenen Gemütszustandes der Beteiligten aus der Luft gegriffen und unbehelflich. Auch die in der Rechtsmitteleingabe behaupteten, aber nicht belegten gesundheitlichen Beeinträchtigungen vermöchten die im angefochtenen Entscheid festgestellte Zumutbarkeit des Wegweisungsvollzugs nicht ernsthaft in Frage zu stellen. Die Beschwerdeführer könnten nach ihrer Rückkehr - abgesehen von der Unterstützung durch das familiäre Umfeld - vom ersten Tag an die Hilfe internationaler Organisationen, insbesondere der UNWRA, beanspruchen. Zudem könnten sie bei Bedarf von der vor allem in der Westbank relativ gut ausgebauten und auch unentgeltlich zugänglichen Gesundheitsversorgung profitieren.</w:t>
      </w:r>
    </w:p>
    <w:p>
      <w:r>
        <w:rPr>
          <w:b/>
        </w:rPr>
        <w:t>E. 3.4</w:t>
      </w:r>
    </w:p>
    <w:p>
      <w:r>
        <w:t>In ihrer Stellungnahme vom 19. Dezember 2010 brachten die Beschwerdeführer im Wesentlichen vor, das BFM habe es in seiner Vernehmlassung offenbar unterlassen, konkret auf die Ausführungen in ihrer Beschwerde und den übrigen Eingaben einzugehen. In an Befangenheit grenzenden Bemerkungen würden ihre Ausführungen als Rechtfertigungsversuche sowie die ärztlich belegte psychische Erkrankung der Beschwerdeführerin sowie des ebenfalls kranken sowie behinderten Sohnes B._______ als "möglicherweise angeschlagenen Gemütszustand" bezeichnet. Diese Formulierungen stellten eine Verletzung des Willkürverbots dar. Demnach müsste zwingend ein anderer Sachverständiger beigezogen werden für den Fall, dass Zweifel an der Richtigkeit des eingereichten Arztberichts bestünden. In der Beschwerde sei detailliert und mit Belegen aufgezeigt worden, dass die schweren Gesundheitsprobleme bereits in den Anhörungen zum Ausdruck gekommen seien und diese geprägt hätten. Das BFM habe es unterlassen, auf diese fundierten Ausführungen einzugehen. Es sei auffallend, dass die Vorinstanz auf das mit Eingabe vom 8. Oktober 2010 eingereichte Beweismittel betreffend (Nennung Beweismittel) in ihrer Vernehmlassung mit keinem Wort eingegangen sei. Diese unterlassene Würdigung des neu erhaltenen Beweismittels stelle eine schwere Verletzung des rechtlichen Gehörs im Sinne von Art. 29 Abs. 2 der Bundesverfassung der Schweizerischen Eidgenossenschaft vom 18. April 1999 (BV, SR 101) sowie von Art. 32 Abs. 2 VwVG dar. Ausserdem würden sich zwingend weitere Abklärungen betreffend ihre Gesundheitsprobleme aufdrängen und beispielsweise ergeben, dass B._______ im (...) notfallmässig habe hospitalisiert werden müssen und seither in regelmässiger ärztlicher Behandlung stehe. Betreffend die behauptete Zumutbarkeit des Wegweisungsvollzugs sei festzuhalten, dass in der Westbank kein über die allgemeine Grundversorgung hinausgehendes Gesundheitssystem funktioniere. Zwar könnten Medikamente der Grundversorgung erhältlich gemacht werden, hingegen sei die Behandlung von psychischen Krankheiten faktisch nicht existent beziehungsweise sei der Zugang zu solcher Behandlung nicht gewährleistet. Zudem verfügten sie in ihrer Herkunftsregion über kein tragfähiges Beziehungsnetz und könnten aufgrund des Spionagevorwurfs gegen ihren Ehemann/Vater auch nicht auf die Unterstützung anderer Personen zurückgreifen. Sie würden daher bei einer Rückkehr in eine existenzbedrohende Situation geraten, weshalb die Unzumutbarkeit des Wegweisungsvollzugs festzustellen sei.</w:t>
      </w:r>
    </w:p>
    <w:p>
      <w:r>
        <w:rPr>
          <w:b/>
        </w:rPr>
        <w:t>E. 4.1</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BVGE 2009/50 E. 10.2.1 und E. 10.2.2 S. 734 f.,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leiten liess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und der Anordnung der Wegweisung sowie deren Vollzugs gehen - verlangt die bundesgerichtliche Rechtsprechung eine sorgfältige Begründung (BGE 112 Ia 110).</w:t>
      </w:r>
    </w:p>
    <w:p>
      <w:r>
        <w:rPr>
          <w:b/>
        </w:rPr>
        <w:t>E. 4.2</w:t>
      </w:r>
    </w:p>
    <w:p>
      <w:r>
        <w:t>Aufgrund obiger Erwägungen ist im Hinblick auf die Feststellung des rechtserheblichen Sachverhalts festzuhalten, dass die Richtigkeit der Sachverhaltsabklärung in casu nicht gewährleistet ist. Die mangelhafte Sachverhaltsfeststellung beschlägt insbesondere die Nichtberücksichtigung der von den Beschwerdeführern auf Beschwerdeebene nach­gereichten Beweismittel zum Beleg der geltend gemachten Entführung des Ehemanns/Vaters sowie zum Nachweis ihrer gesundheitlichen Probleme im Rahmen des vom Instruktionsrichter angeordneten Schriftenwechsels durch die Vorinstanz. Mit Eingaben vom 8. und 12. Oktober 2010 legten die Beschwerdeführer (Nennung Beweismittel), wonach die Beschwerdeführerin an (Nennung Diagnose) sei, sowie die Kopie eines (Nennung Beweismittel) über die Verhaftung des Ehemannes und Vaters der Beschwerdeführer und dessen öffentliche Entlarvung als Spion ins Recht. Im Rahmen des Schriftenwechsels unterzog die Vorinstanz offensichtlich nur die eingereichte Rechtsmitteleingabe einer Prüfung, was durch die in der Vernehmlassung enthaltenen Äusserungen "Die Beschwerdeschrift enthält keine neuen erheblichen Tatsachen oder Beweismittel, ..." und "Auch die in der Beschwerde behaupteten, aber nicht belegten gesundheitlichen Beeinträchtigungen vermögen die im angefochtenen Entscheid festgestellte Zumutbarkeit des Wegweisungsvollzugs nicht ernsthaft in Frage zu stellen." ersichtlich wird, ohne sich mit den eingereichten Beweismitteln in erkennbarer Weise auseinanderzusetzen. Den Anforderungen an das rechtliche Gehör, wonach die Behörde die Vorbringen des Betroffenen tatsächlich hört, sorgfältig und ernsthaft prüft und in der Entscheidfindung berücksichtigt, wird in casu durch das Vorgehen der Vorinstanz in keiner Weise Genüge getan, zumal der Einwand des BFM der unbelegten gesundheitlichen Beeinträchtigungen im Zeitpunkt der Abfassung der Vernehmlassung nicht zutraf und als falsch zu bezeichnen ist. Nach dem Gesagten stellt der Verzicht der Vorinstanz auf die Prüfung und Würdigung der eingereichten Beweismittel eine Verletzung des Anspruchs der Beschwerdeführer auf rechtliches Gehör dar. Aufgrund des formellen Charakters des Gehörsanspruchs führt eine Verletzung desselben grundsätzlich zur Aufhebung der angefochtenen Verfügung, unabhängig davon, ob diese bei korrekter Gewährung des rechtlichen Gehörs im Ergebnis anders ausgefallen wäre (vgl. zur Frage der Heilungsvoraussetzungen BVGE 2008/47 E. 3.4.4). Eine Heilung des festgestellten Verfahrensmangels auf Beschwerdeebene aus prozessökonomischen Überlegungen fällt nicht in Betracht, da die festgestellte Verletzung des rechtlichen Gehörs schwerwiegend erscheint und überdies das Verfahren nicht entscheidungsreif ist (vgl. EMARK 2004 Nr. 38 E. 7 S. 265).</w:t>
      </w:r>
    </w:p>
    <w:p>
      <w:r>
        <w:rPr>
          <w:b/>
        </w:rPr>
        <w:t>E. 4.3</w:t>
      </w:r>
    </w:p>
    <w:p>
      <w:r>
        <w:t>Zusammenfassend ergibt sich, dass der Anspruch der Beschwerdeführer auf rechtliches Gehör durch den Verzicht auf die Prüfung und Würdigung der eingereichten Beweismittel verletzt wurde.</w:t>
      </w:r>
    </w:p>
    <w:p>
      <w:r>
        <w:rPr>
          <w:b/>
        </w:rPr>
        <w:t>E. 5</w:t>
      </w:r>
    </w:p>
    <w:p>
      <w:r>
        <w:t>Die Beschwerde ist somit gutzuheissen, die vorinstanzliche Verfügung vom 11. August 2010 aufzuheben und die Sache zur Neubeurteilung im Sinne der Erwägungen ans BFM zurückzuweisen. Unter diesen Umständen erübrigt es sich, auf die weiteren formellen Rügen in der Rechtsmitteleingabe sowie die übrigen Beschwerdeanträge einzugehen.</w:t>
      </w:r>
    </w:p>
    <w:p>
      <w:r>
        <w:rPr>
          <w:b/>
        </w:rPr>
        <w:t>E. 6.1</w:t>
      </w:r>
    </w:p>
    <w:p>
      <w:r>
        <w:t>Bei diesem Ausgang des Verfahrens sind keine Verfahrenskosten aufzuerlegen (Art. 63 Abs. 1 und 2 VwVG). Damit wird das Gesuch um Gewährung der unentgeltlichen Prozessführung im Sinne von Art. 65 Abs. 1 VwVG gegenstandslos.</w:t>
      </w:r>
    </w:p>
    <w:p>
      <w:r>
        <w:rPr>
          <w:b/>
        </w:rPr>
        <w:t>E. 6.2</w:t>
      </w:r>
    </w:p>
    <w:p>
      <w:r>
        <w:t>Den Beschwerdeführern ist in Anwendung von Art. 64 Abs. 1 VwVG eine Parteientschädigung für die ihnen erwachsenen notwendigen Vertretungskosten zuzusprechen (vgl. Art. 7 Abs. 1 des Reglements vom 21. Februar 2008 über die Kosten und Entschädigungen vor dem Bundesverwaltungsgericht [VGKE, SR 173.320.2]). Der Rechtsvertreter reichte mit Eingabe vom 19. Dezember 2010 eine Kostennote gleichen Datums zu den Akten. Darin wird ein Zeitaufwand von 12.25 Stunden à Fr. 230.-, total (inkl. Auslagen und Mehrwertsteuer) Fr. 3080.- ausgewiesen. Dieser Aufwand ist in Anbetracht des nicht übermässig schwierigen oder umfangreichen Verfahrens nicht als vollumfänglich angemessen beziehungsweise nicht als notwendig im Sinne von Art. 64 Abs. 1 VwVG zu erachten, zumal mit Zwischenverfügung vom 23. September 2010 das Gesuch um Akteneinsicht, um Gewährung des rechtlichen Gehörs und Ansetzung einer Frist zur Beschwerdeergänzung abgewiesen wurde. In Berücksichtigung des Umstandes, dass nach Einreichung der Kostennote zwei weitere Beweismitteleingaben ins Recht gelegt wurden, und aufgrund der massgebenden Bemessungsfaktoren (Art. 9-13 VGKE) ist die Parteientschädigung auf Fr. 1500.- (inkl. Auslagen und Mehrwertsteuer) festzusetzen. Das BFM ist somit anzuweisen, den Beschwerdeführern für das vorliegende Verfahren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