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D-6478/2013 vom 24. Dezember 2013</w:t>
      </w:r>
    </w:p>
    <w:p>
      <w:r>
        <w:t>Bundesverwaltungsgericht, 2013-12-24, DE</w:t>
      </w:r>
    </w:p>
    <w:p>
      <w:r>
        <w:rPr>
          <w:b/>
        </w:rPr>
        <w:t xml:space="preserve">Quelle: </w:t>
      </w:r>
      <w:r>
        <w:t>https://mcp.opencaselaw.ch/entscheid/bvger_D-6478_2013</w:t>
      </w:r>
    </w:p>
    <w:p>
      <w:r>
        <w:t>FR: TAF D-6478/2013 du 24 décembre 2013</w:t>
      </w:r>
    </w:p>
    <w:p>
      <w:r>
        <w:t>IT: TAF D-6478/2013 del 24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wird gestützt auf die Übergangsbestimmung zur Änderung des Asylgesetzes vom 28. September 2012 (in Kraft getreten am 29. September 2012) durchgeführt,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1.5</w:t>
      </w:r>
    </w:p>
    <w:p>
      <w:r>
        <w:t>Die Beschwerde ist fristgerecht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4.1</w:t>
      </w:r>
    </w:p>
    <w:p>
      <w:r>
        <w:t>Ein Asylgesuch kann gemäss alt Art. 19 AsylG im Ausland bei einer schwei­zerischen Vertretung gestellt werden, die es mit einem Bericht an das Bundesamt überweist (alt Art. 20 Abs. 1 AsylG). Hinsichtlich des Ver­fahrens bei der Vertretung im Ausland sieht Art. 10 der Asylverordnung 1 vom 11. August 1999 über Verfahrens­fra­gen (AsylV 1, SR 142.311) vor, dass mit der asylsuchenden Per­son in der Regel eine Befragung durchgeführt wird (Art. 10 Abs. 1 AsylV 1). Ist dies nicht möglich, so wird die asylsuchende Person von der Ver­tre­tung aufgefordert, ihre Asylgründe schriftlich festzuhalten (Art. 10 Abs. 2 AsylV 1).</w:t>
      </w:r>
    </w:p>
    <w:p>
      <w:r>
        <w:rPr>
          <w:b/>
        </w:rPr>
        <w:t>E. 4.2</w:t>
      </w:r>
    </w:p>
    <w:p>
      <w:r>
        <w:t>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w:t>
      </w:r>
    </w:p>
    <w:p>
      <w:r>
        <w:rPr>
          <w:b/>
        </w:rPr>
        <w:t>E. 4.3</w:t>
      </w:r>
    </w:p>
    <w:p>
      <w:r>
        <w:t>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gehalten, das Absehen von einer Befragung zu begründen (vgl. BVGE a.a.O. E. 5.6 so­wie 5.7).</w:t>
      </w:r>
    </w:p>
    <w:p>
      <w:r>
        <w:rPr>
          <w:b/>
        </w:rPr>
        <w:t>E. 4.4</w:t>
      </w:r>
    </w:p>
    <w:p>
      <w:r>
        <w:t>Im vorliegenden Fall ist der Verzicht auf eine persönliche Befragung der Beschwerdeführerin durch die vom BFM im Schreiben vom 18. Juli 2011 begrenzten Personalressourcen und fehlenden Voraussetzungen im sicherheitstechnischen und räumlichen Bereich sachlich begründet. In ihrem Gesuch vom 31. Oktober 2010 (vgl. act. A1/4) schilderte die Beschwerdeführerin bereits ziemlich ausführlich ihre Ausreisegründe aus Eritrea und ihre Situation im Sudan. Die im erwähnten Schreiben des Bundesamts enthaltenen zusätzlichen Fragestellungen decken sodann sämtliche weiteren für die Beurteilung des von der Beschwerdeführerin schriftlich eingereichten Asylgesuches aus dem Ausland notwendigen Aspekte ab. Sie wurden von der Beschwerdeführerin mit Eingabe vom17. August 2011 (vgl. act. A6/2) genügend beantwortet. Der entscheidwesentliche Sachverhalt ist damit in genügender Weise erstellt.</w:t>
      </w:r>
    </w:p>
    <w:p>
      <w:r>
        <w:rPr>
          <w:b/>
        </w:rPr>
        <w:t>E. 5.1</w:t>
      </w:r>
    </w:p>
    <w:p>
      <w:r>
        <w:t>Die soeben dargelegten Asylgründe erscheinen prima facie nicht als unglaubhaft. Die Flucht aus einem Ausbildungscamp des eritreischen Militärs würden die eritreischen Behörden als Desertion und damit als regimefeindlich erachten. Es könnte der Beschwerdeführerin deshalb eine - aus politisch motivierten Gründen - unverhältnismässig hohe und harte Strafe drohen (vgl. Entscheidungen und Mitteilungen der Schweizerischen Asylrekurskommission [EMARK] 2006 Nr. 3, vgl. auch Schweizerische Flüchtlingshilfe, Eritrea, Update vom Februar 2010, Alexandra Geiser, Bern, 8. Februar 2010, S. 4 und 10 f.). Bei einer Rückkehr nach Eritrea bestünde daher die Möglichkeit, dass sie ernsthaften Nachteilen im Sinne von Art. 3 Abs. 1 AsylG ausgesetzt sein könnte und ihr in der Folge in Anwendung von Art. 2 AsylG Asyl zu gewähren wäre. Vorausgesetzt, ihr weiterer Verbleib im Sudan ist als unzumutbar im Sinne von alt Art. 52 Abs. 2 AsylG zu erachten, wäre ihr daher die Einreise in die Schweiz zwecks Durchführung des Asylverfahrens zu bewilligen. Anders verhält es sich hingegen mit der von der Beschwerdeführerin beschriebenen illegalen Ausreise aus Eritrea. Eine solche, sogenannte Republikflucht könnte von vornherein nicht zur Gewährung von Asyl, sondern gestützt auf Art. 54 AsylG einzig zur Feststellung der Flüchtlingseigenschaft führen (vgl. BVGE 2009/29 E. 5.1 S. 376 f.). Ein Tatbestand, der gemäss der Praxis des Bundesverwaltungsgerichts nicht zur Einreise in die Schweiz berechtigten kann, da es nicht der gesetzlichen Logik entspricht, Personen, die sich im Ausland befinden, die Einreise in die Schweiz zu gewähren, um sie anschliessend - trotz allfälliger Anerkennung als Flüchtlinge - aus der Schweiz wegzuweisen (vgl. BVGE 2012/26 E. 7 S. D-3402/2011 vom 30. Oktober 2012 E. 7 S. 519 f. betreffend subjektive Nachfluchtgründe im Sinne von Art. 54 AsylG, BVGE 2011/10 E. 7 S. 133 betreffend Asylunwürdigkeit im Sinne von Art. 53 AsylG).</w:t>
      </w:r>
    </w:p>
    <w:p>
      <w:r>
        <w:rPr>
          <w:b/>
        </w:rPr>
        <w:t>E. 5.2</w:t>
      </w:r>
    </w:p>
    <w:p>
      <w:r>
        <w:t>Nach alt Art. 52 Abs. 2 AsylG kann einer Person, die sich im Ausland befindet, das Asyl verweigert werden, wenn es ihr zugemutet werden kann, sich in einem anderen Staat um Aufnahme zu bemühen. Bei der Anwendung von alt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5.3</w:t>
      </w:r>
    </w:p>
    <w:p>
      <w:r>
        <w:t>Die Beschwerdeführerin hält sich in einem Drittstaat - dem Sudan - auf. Die dortige Situation für Flüchtlinge ist - wie schon das BFM festhält und von der Beschwerdeführerin geltend gemacht wird - sicherlich generell nicht einfach. Die vom UNHCR registrierten Flüchtlinge sind grundsätzlich gehalten, sich in einem UNHCR-Flüchtlingslager aufzuhalten. Sie verfügen im Sudan nicht über ein freies Aufenthaltsrecht, sondern bedürfen ausserhalb der Lager besonderer Reise- respektive Aufenthaltsbewilligungen. Auch die Ausübung einer Arbeit ist in aller Regel nur mittels entsprechender Bewilligung zugänglich. Viele anerkannte eritreische Flüchtlinge halten sich nicht in Flüchtlingslagern, sondern illegal in Khartoum auf, wo sie versuchen, einer Arbeit nachzugehen. Dort kam es in der Vergangenheit in vereinzelten Fällen auch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Anhaltspunkte dafür, dass die Beschwerdeführerin in Khartoum ernsthaft eine Deportation zu befürchten hätte, indem sie etwa infolge qualifizierter regimekritischer Tätigkeiten ein erhöhtes Risikoprofil aufweisen würde, lassen sich den Akten nicht entnehmen und werden von ihr denn auch nicht angeführt. Ihren Vorbringen auf Beschwerdeebene zufolge hielt sie sich im Sudan bereits in einem Flüchtlingscamp auf, womit sie vom UNHCR registriert worden sein sollte. Sie ist zudem bemüht, sich in Khartoum, ihrem langjährigen und aktuellen Aufenthaltsort durch das UNHCR registrieren zu lassen. Auch wenn sich die Situation für die Beschwerdeführerin als junge eritreische Frau mit einem Kleinkind in Khartum als schwierig erweisen mag, lässt sich aus ihren Angaben schliessen, dass sie dort, auch nachdem der Vater ihres Kindes sie verlassen hat, nach wie vor über eine Unterkunft sowie in Form der Unterstützung durch ihre Nachbarn, die sie wie eine Familienangehörige behandeln, über ein sie tragendes Beziehungsnetz verfügt (vgl. act. A6/2). Ausserdem konnte sie - wie in der Rechtsmittelschrift ausgeführt - bis anhin auch Gelegenheitsarbeiten ausführen. Auch wenn sie daran durch ihre erstmals auf Beschwerdeebene geltend gemachten und nicht näher definierten und nicht belegten Rückenprobleme mehr oder weniger abgehalten wäre, ist aufgrund der ihr zukommenden Unterstützung durch ihre Bekannten nicht zu schliessen, sie sei im Sudan auf sich allein gestellt und befinde sich in einer existenziellen, lebensbedrohenden Notlage. Bei allfälligen finanziellen Problemen könnte sie zudem auch um Unterstützung bei dem sich im Sudan seit langem aufhaltenden Kindsvater ersuchen. Dieser dürfte aufgrund seiner Vaterschaft zumindest gehalten sein, seinen Unterhaltspflichten gegenüber dem Kind nachzukommen. Den Akten zufolge weist sie zudem zur Schweiz keine enge Bindung auf. Der einzige, indes nicht überwiegend gewichtige Anknüpfungspunkt ist der in der Schweiz wohnhafte angebliche Onkel der Beschwerdeführerin. Die Beschwerdeführerin benötigt somit den subsidiären Schutz der Schweiz gemäss alt Art. 52 Abs. 2 AsylG nicht. Der weitere Verbleib im Sudan ist zumutbar.</w:t>
      </w:r>
    </w:p>
    <w:p>
      <w:r>
        <w:rPr>
          <w:b/>
        </w:rPr>
        <w:t>E. 5.4</w:t>
      </w:r>
    </w:p>
    <w:p>
      <w:r>
        <w:t>Zusammenfassend ist festzustellen, dass es der Beschwerde­füh­rerin nicht gelungen ist, Gründe darzutun, aus welchen die Zumut­barkeit ihres weiteren Aufenthalts im Sudan zu verneinen wäre. Das BFM hat demnach der Beschwerdeführerin zu Recht die Einreise in die Schweiz verweigert beziehungsweise deren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wären die Kosten von Fr. 600.- grundsätzlich der Beschwerdeführerin aufzuerlegen (Art. 63 Abs. 1 und 5 VwVG, Art. 1-3 des Reglements vom 21. Februar 2008 über die Kosten und Entschädigungen vor dem Bundesverwaltungsgericht [VGKE, SR 173.320.2]). Aus verwaltungsökonomischen Gründen ist indessen auf deren Erhebung zu verzichten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