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D-6473/2013 vom 17. Dezember 2013</w:t>
      </w:r>
    </w:p>
    <w:p>
      <w:r>
        <w:t>Bundesverwaltungsgericht, 2013-12-17, DE</w:t>
      </w:r>
    </w:p>
    <w:p>
      <w:r>
        <w:rPr>
          <w:b/>
        </w:rPr>
        <w:t xml:space="preserve">Quelle: </w:t>
      </w:r>
      <w:r>
        <w:t>https://mcp.opencaselaw.ch/entscheid/bvger_D-6473_2013</w:t>
      </w:r>
    </w:p>
    <w:p>
      <w:r>
        <w:t>FR: TAF D-6473/2013 du 17 décembre 2013</w:t>
      </w:r>
    </w:p>
    <w:p>
      <w:r>
        <w:t>IT: TAF D-6473/2013 del 17 dicembre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des Bundesgerichtsgesetzes vom 17. Juni 2005 [BGG, SR 173.110]).</w:t>
      </w:r>
    </w:p>
    <w:p>
      <w:r>
        <w:rPr>
          <w:b/>
        </w:rPr>
        <w:t>E. 1.2</w:t>
      </w:r>
    </w:p>
    <w:p>
      <w:r>
        <w:t>Mit den dringlichen Änderungen des Asylgesetzes vom 28. September 2012 (AS 2012 5359), die am 29. September 2012 in Kraft getreten sind, wurden die Bestimmungen betreffend die Stellung von Asylgesuchen aus dem Ausland aufgehoben. Die Übergangsbestimmung (Ziffer III) hält jedoch fest, dass für die vor dem Inkrafttreten der Änderung vom 28. September 2012 gestellten Auslandsgesuche die massgeblichen Artikel (Art. 12, 19, 20, 41 Abs. 2, 52 und 68 AsylG) in der bisherigen Fassung anwendbar sind. Vorliegend kommen somit die bisherigen Bestimmungen betreffend das Auslandsverfahren zur Anwendung.</w:t>
      </w:r>
    </w:p>
    <w:p>
      <w:r>
        <w:rPr>
          <w:b/>
        </w:rPr>
        <w:t>E. 1.3</w:t>
      </w:r>
    </w:p>
    <w:p>
      <w:r>
        <w:t>Die Beschwerde ist nicht in einer Amtssprache des Bundes abgefasst. Auf die Ansetzung einer Frist zur entsprechenden Beschwerdeverbesserung im Sinne von Art. 52 VwVG kann jedoch aus prozessökonomischen Gründen verzichtet werden, da die englischsprachige Beschwerdeeingabe verständlich ist, so dass ohne Weiteres darüber befunden werden kann.</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Auf die frist- und - mit Ausnahme des genannten, jedoch nicht als wesentlich erachteten Mangels hinsichtlich der Sprache der Beschwerdeeingabe (vgl. E. 1.3) - formgerecht eingereichte Beschwerde ist somit einzutreten (Art. 108 Abs. 1 AsylG; Art. 105 AsylG i.V.m. Art. 37 VGG und Art. 48 Abs. 1 und Art. 52 Abs. 1 VwVG).</w:t>
      </w:r>
    </w:p>
    <w:p>
      <w:r>
        <w:rPr>
          <w:b/>
        </w:rPr>
        <w:t>E. 2</w:t>
      </w:r>
    </w:p>
    <w:p>
      <w:r>
        <w:t>Mit Beschwerde kann die Verletzung von Bundesrecht, die unrichtige oder unvollständige Feststellung des rechtserheblichen Sachverhalts und die Unangemessenheit gerügt werden (Art. 106 Abs. 1 VwVG).</w:t>
      </w:r>
    </w:p>
    <w:p>
      <w:r>
        <w:rPr>
          <w:b/>
        </w:rPr>
        <w:t>E. 3.1</w:t>
      </w:r>
    </w:p>
    <w:p>
      <w:r>
        <w:t>Ein Asylgesuch kann gemäss alt Art. 19 AsylG im Ausland bei einer schweizerischen Vertretung gestellt werden, die es an das Bundesamt überweist (alt Art. 20 Abs. 1 AsylG). Hinsichtlich des Verfahrens sieht Art. 10 Abs. 1 der Asylverordnung 1 vom 11. August 1999 über Verfahrensfragen (AsylV 1, SR 142.311) vor, dass die schweizerische Vertretung mit der asylsuchenden Person in der Regel eine Befragung durchführt. Ist dies nicht möglich, sind die Asylgründe schriftlich festzuhalten (Art. 10 Abs. 2 AsylV 1). Das BFM hat den Verzicht auf eine Befragung im Ausland in der Verfügung zu begründen (vgl. BVGE 2007/30 E. 5.8 S. 368).</w:t>
      </w:r>
    </w:p>
    <w:p>
      <w:r>
        <w:rPr>
          <w:b/>
        </w:rPr>
        <w:t>E. 3.2</w:t>
      </w:r>
    </w:p>
    <w:p>
      <w:r>
        <w:t>Vorliegend begründete das BFM den Verzicht auf eine persönliche Befragung des Beschwerdeführers bei der schweizerischen Vertretung in Khartum mit dem begrenzten Personalbestand der Botschaft und fehlenden Voraussetzungen im sicherheitstechnischen und räumlichen Bereich. Der Beschwerdeführer erhielt indes die Möglichkeit, seine Asylgründe ausführlich schriftlich darzulegen, so dass den verfahrensrechtlichen Anforderungen von Art. 10 AsylV 1 Genüge getan wurde.</w:t>
      </w:r>
    </w:p>
    <w:p>
      <w:r>
        <w:rPr>
          <w:b/>
        </w:rPr>
        <w:t>E. 4.1</w:t>
      </w:r>
    </w:p>
    <w:p>
      <w:r>
        <w:t>Gemäss Art. 2 Abs. 1 AsylG gewährt die Schweiz Flüchtlingen grundsätzlich Asyl. Als Flüchtling wird eine ausländische Person anerkannt, wenn sie in ihrem Heimatstaat oder im Land, in dem sie vor der Ausreise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Das Bundesamt kann ein im Ausland gestelltes Asylgesuch ablehnen, wenn die asylsuchende Person keine Verfolgung glaubhaft machen oder ihr die Aufnahme in einem Drittstaat zugemutet werden kann (Art. 3, Art. 7 und alt Art. 52 Abs. 2 AsylG). Gemäss alt Art. 20 Abs. 2 AsylG bewilligt das Bundesamt einer asylsuchenden Person die Einreise in die Schweiz zur Asylerteilung, wenn diese die entsprechenden Voraussetzungen erfüllt, oder zur Abklärung des Sachverhalt, wenn ihr nicht zugemutet werden kann, im Wohnsitz- oder Aufenthaltsstaat zu bleiben oder in ein anderes Land auszureisen. Gestützt auf alt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Für die Erteilung einer Einreisebewilligung gelten restriktive Voraussetzungen, wobei den Behörden ein weiter Ermessensspielraum zukommt. Neben der erforderlichen Gefährdung im Sinne von Art. 3 AsylG sind mit Blick auf den Asylausschlussgrund von alt Art. 52 Abs. 2 AsylG namentlich die Beziehungsnähe zur Schweiz und zu anderen Staaten, die praktische Möglichkeit und objektive Zumutbarkeit einer anderweitigen Schutzsuche sowie die voraussichtlichen Eingliederungs- und Assimilationsmöglichkeiten in Betracht zu ziehen. Ausschlaggebend für die Erteilung einer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BVGE 2011/10 E. 3.3.). Hält sich die Person, die ein Asylgesuch aus dem Ausland gestellt hat, in einem Drittstaat auf, bedeutet dies zwar nicht zwingend, dass es ihr auch zuzumuten ist, sich dort um Aufnahme zu bemühen. Im Sinne einer Regelvermutung ist aber davon auszugehen, sie habe dort den erforderlichen Schutz gefunden, was in der Regel zur Ablehnung des Asylgesuchs und der Verweigerung der Einreisebewilligung führt. In jedem Fall sind die Kriterien zu prüfen, welche die Zufluchtnahme in diesem Drittstaat zumutbar erscheinen lassen, und diese mit einer allfälligen Beziehungsnähe zur Schweiz abzuwägen. Eine Beziehungsnähe zur Schweiz aufgrund hier ansässiger naher Familienangehöriger begründet nicht automatisch eine Einreisebewilligung, wenn aufgrund einer Abwägung mit anderen Kriterien der Verbleib im Drittstaat objektiv als zumutbar zu erachten ist. Es gilt also zu prüfen, ob es aufgrund der gesamten Umstände geboten erscheint, dass es gerade die Schweiz ist, die einer Person den erforderlichen Schutz gewähren soll (vgl. BVGE 2011/10 E. 5.1).</w:t>
      </w:r>
    </w:p>
    <w:p>
      <w:r>
        <w:rPr>
          <w:b/>
        </w:rPr>
        <w:t>E. 5</w:t>
      </w:r>
    </w:p>
    <w:p>
      <w:r>
        <w:t>Vorliegend machte der Beschwerdeführer geltend, er sei im Jahr 1984 in den Sudan geflohen, da er aufgrund der damaligen Kriegswirren in seiner Heimat um sein Leben gefürchtet habe. Das BFM kam in seiner Verfügung vom 3. Mai 2013 zum Schluss, dass keine glaubhaft dargelegten Anhaltspunkte vorlägen, die darauf schliessen lassen würden, dass der Beschwerdeführer im Zeitpunkt seiner Ausreise im Jahr 1984 von einreiserelevanten Nachteilen bedroht gewesen wäre. Dieser Einschätzung ist im Ergebnis beizupflichten.</w:t>
      </w:r>
    </w:p>
    <w:p>
      <w:r>
        <w:rPr>
          <w:b/>
        </w:rPr>
        <w:t>E. 5.1</w:t>
      </w:r>
    </w:p>
    <w:p>
      <w:r>
        <w:t>Massgeblich für die Erteilung einer Einreisebewilligung ist, ob die Person, die aus einem Drittstaat ein Asylgesuch stellt, bereits im Zeitpunkt ihrer Ausreise aus dem Heimatstaat asylrechtlich relevante Verfolgung zu gewärtigen hatte. Der Beschwerdeführer vermag mit dem Verweis auf die 1984 allgemein schwierige Lage der Eritreer nicht darzulegen, dass er im Zeitpunkt seiner Ausreise in seiner Heimat - faktisch in Äthiopien (Eritrea erlangte erst im Jahr 1993 die Unabhängigkeit von Äthiopien) - konkreten, asylrechtlich relevanten Verfolgungsmassnahmen von Seiten der dortigen Behörden ausgesetzt war beziehungsweise solche zu gewärtigen hatte. Angesichts dessen, dass Eritrea erst seit dem Jahr 1993 unabhängig ist, kann auch nicht davon gesprochen werden, dass der Beschwerdeführer Eritrea im Jahr 1984 illegal verlassen hätte, und ihm deswegen bei einer Rückkehr nun eine Freiheitsstrafe drohen würde (vgl. Urteil des Bundesverwaltungsgerichts D-3892/2008 E. 5.3.2 f.). Im Übrigen würde es sich dabei um einen subjektiven Nachfluchtgrund im Sinne von Art. 54 AsylG handeln, weshalb gestützt darauf im Hinblick auf die auszusprechende Wegweisung keine Einreisebewilligung erteilt werden könnte (vgl. BVGE 2011/10 E. 7). Dasselbe gilt auch für den in der Beschwerdeeingabe vom 30. Oktober 2013 geäusserten Unmut des Beschwerdeführers mit der eritreischen Regierung, der ihm eine heutige Rückkehr nach Eritrea verunmögliche, respektive für allfällige diesbezügliche exilpolitische Tätigkeiten des Beschwerdeführers, sofern er solche aufgrund seine Unmuts im Sudan ausüben sollte.</w:t>
      </w:r>
    </w:p>
    <w:p>
      <w:r>
        <w:rPr>
          <w:b/>
        </w:rPr>
        <w:t>E. 5.2</w:t>
      </w:r>
    </w:p>
    <w:p>
      <w:r>
        <w:t>Dem Beschwerdeführer ist es damit nicht gelungen, eine asylrechtlich relevante Verfolgung in Eritrea darzulegen. Damit erübrigt sich eine Prüfung der weiteren Voraussetzungen der Erteilung einer Einreisebewilligung im asylrechtlichen Auslandsverfahren (vgl. Urteil des Bundesverwaltungsgerichts E-6893/2011 E. 6.4). Das BFM hat dem Beschwerdeführer die Einreise in die Schweiz zwecks Durchführung eines Asylverfahrens zu Recht verweigert und dessen Asylgesuch aus dem Ausland ebenfalls zu Recht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