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D-6473/2008 vom 7. November 2011</w:t>
      </w:r>
    </w:p>
    <w:p>
      <w:r>
        <w:t>Bundesverwaltungsgericht, 2011-11-07, DE</w:t>
      </w:r>
    </w:p>
    <w:p>
      <w:r>
        <w:rPr>
          <w:b/>
        </w:rPr>
        <w:t xml:space="preserve">Quelle: </w:t>
      </w:r>
      <w:r>
        <w:t>https://mcp.opencaselaw.ch/entscheid/bvger_D-6473_2008</w:t>
      </w:r>
    </w:p>
    <w:p>
      <w:r>
        <w:t>FR: TAF D-6473/2008 du 7 novembre 2011</w:t>
      </w:r>
    </w:p>
    <w:p>
      <w:r>
        <w:t>IT: TAF D-6473/2008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dem BFM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Für die Beurteilung der Flüchtlingseigenschaft ist nicht nur der Zeitpunkt der Ausreise aus dem Heimatstaat, sondern auch die Situation zum Zeitpunkt des Asylentscheids massgebend (vgl. BVGE 2008/4 E. 5.4 S. 38; EMARK 2005 Nr. 18). Wer sich darauf beruft, dass durch sein Verhalten nach der Ausreise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4.1</w:t>
      </w:r>
    </w:p>
    <w:p>
      <w:r>
        <w:t>Der Rechtsvertreter vertritt in seiner Beschwerde den Standpunkt, die Einschätzung der Vorinstanz, wonach der Beschwerdeführer weder wegen seiner Inhaftierung im März 2004 im Gefolge der Unruhen von Qamishli noch zufolge seiner Tätigkeiten als Sympathisant der Yekiti-Partei in Syrien eine asylbeachtliche staatliche Verfolgung zu gewärtigen gehabt habe, sei unzutreffend. Die zweimalige Verhaftung des Beschwerdeführers in den Jahren 2003 und 2004 zeuge von einem erheblichen Verfolgungsrisiko, zumal einmal aus der Haft entlassene Aktivisten von den Sicherheitsdiensten weiterhin überwacht und belästigt würden. Darüber hinaus stellten die beiden mehrmonatigen Inhaftierungen des Beschwerdeführers eine Verfolgungsintensität dar, welche jegliche Person in vergleichbarer Lage ebenfalls dazu verhalten hätte, ihr Heimatland zu verlassen. Die Behauptung der Vorinstanz, der Beschwerdeführer sei zwischen 2004 und 2007 unbehelligt geblieben, was gegen eine begründete Verfolgungsfurcht im Zeitpunkt der Ausreise spreche, verkenne die Tatsache, dass sein Mandant letztlich deshalb ausgereist sei, weil ein verhaftetes Mitglied der PYD den heimatlichen Behörden Ende September 2007 seinen Namen verraten habe.</w:t>
      </w:r>
    </w:p>
    <w:p>
      <w:r>
        <w:rPr>
          <w:b/>
        </w:rPr>
        <w:t>E. 4.2</w:t>
      </w:r>
    </w:p>
    <w:p>
      <w:r>
        <w:t>Das Bundesverwaltungsgericht gelangt nach einlässlicher Durchsicht der Akten zum Schluss, dass die Aussage des Beschwerdeführers, ein verhaftetes Mitglied der PYD hätte den syrischen Sicherheitsbehörden Ende September/ Anfang Oktober 2007 seinen Namen preisgegeben, eine reine Parteibehauptung darstellt: Hätte sich der Beschwerdeführer bis zu seiner Ausreise aus Syrien im Oktober 2007 tatsächlich in ernstzunehmender Weise für die Belange der Yekiti-Partei engagiert, wäre er in Anbetracht der engmaschigen Überwachung der syrischen Bevölkerung durch die verschiedenen syrischen Geheimdienste mit grösster Wahrscheinlichkeit bereits zu einem wesentlich früheren Zeitpunkt nachhaltig für sein politisches Engagement zur Rechenschaft gezogen worden. Darüber hinaus weisen auch die Abklärungsergebnisse der Schweizer Botschaft in Damaskus vom 31. Juli 2008 darauf hin, dass er im Zeitpunkt der Ausreise aus seiner Heimat wegen seines angeblichen Engagements für die PYD nicht behördlich gesucht wurde, enthalten diese doch lediglich den Hinweis, dass der Beschwerdeführer seit dem Jahre 2004 wegen des Versuchs einer illegalen Ausreise gesucht wird. Schliesslich fällt auf, dass die Aussagen des Beschwerdeführers im Zusammenhang mit dem angeblich fluchtauslösenden Geschehnis, der behördlichen Festnahme eines PYD-Mitglieds Ende September/ Anfang Oktober 2007, diverse Ungereimtheiten enthalten. So erklärte der Beschwerdeführer anlässlich seiner Anhörung am 4. Februar 2008 unter anderem, er habe sich bereits am 28. September 2007, also am Tag, an dem die letzte in Syrien von ihm besuchte PYD-Sitzung stattgefunden habe, versteckt, wiewohl das diese Sitzung leitende PYD-Mitglied erst zwei Tage später verhaftet worden sein soll (vgl. act. A16/18 S. 12 unten/ Seite 13 oben). Es leuchtet nun aber keineswegs ein, weshalb der Beschwerdeführer sich bereits in einem Zeitpunkt versteckt haben sollte, bevor er irgendwelchen konkreten Anlass zur Befürchtung haben musste, als Folge seiner Teilnahme an jener Sitzung behördlich festgenommen zu werden. Ansonsten wäre es unter Sicherheitsaspekten folgerichtiger gewesen, jene Sitzung gar nicht erst zu besuchen. Zum anderen fällt auf, dass der Beschwerdeführer anlässlich seiner Erstanhörung vom 19. Dezember 2007 ausdrücklich festgehalten hat, dass die syrischen Behörden damals seinen Vater mitgenommen und verhört hätten, nachdem sie seiner nicht habhaft geworden seien (vgl. act. A1/13 S. 7), diesen Umstand indessen anlässlich seiner Anhörung am 4. Februar 2008 mit keinem Wort mehr erwähnte und die hierauf anspielende Nachfrage ("Wenn ich Sie jedoch richtig verstehe, hat man ihre Familie, obschon man Sie nicht vorfand, in Ruhe gelassen?") dahingehend beantwortete, die syrischen Behörden hätten seine Familie damals in Ruhe gelassen, da ja er selber und nicht seine Familie "Verursacher des Problems" gewesen sei (vgl. act. A16/18 S. 13). Angesichts der Tatsache, dass er bei der Erstbefragung die damalige Festnahme seines Vaters nicht auf eine exakt hierauf Bezug nehmende Frage hin erwähnte, muss auch die von ihm am 4. Februar 2008 auf Vorhalt hin abgegebene Erklärung, er hätte diesen Umstand erwähnt, wenn ihm diesbezüglich eine explizite Frage gestellt worden wäre (vgl. act. A16/18 S. 16), als Schutzbehauptung gewertet werden.</w:t>
      </w:r>
    </w:p>
    <w:p>
      <w:r>
        <w:rPr>
          <w:b/>
        </w:rPr>
        <w:t>E. 4.3</w:t>
      </w:r>
    </w:p>
    <w:p>
      <w:r>
        <w:t>Im Sinne eines Zwischenergebnisses ist somit festzuhalten, dass dem Beschwerdeführer nicht geglaubt werden kann, dass er Syrien anfangs Oktober 2007 verlassen hat, weil ein verhaftetes PYD-Mitglied den syrischen Behörden seinen Namen als PYD-Sympathisant preisgegeben habe und diese ihn deswegen gesucht hätten.</w:t>
      </w:r>
    </w:p>
    <w:p>
      <w:r>
        <w:rPr>
          <w:b/>
        </w:rPr>
        <w:t>E. 4.4</w:t>
      </w:r>
    </w:p>
    <w:p>
      <w:r>
        <w:t>Soweit der Beschwerdeführer auf seine beiden Festnahmen in den Jahren 2003 und 2004 sowie die bereits früher erfolgten behördlichen Belästigungen wegen seiner Teilnahmen an Newroz-Festen hinweist, bleibt festzuhalten, dass all diese Geschehnisse im Zeitpunkt seiner Ausreise aus Syrien bereits Jahre zurückgelegen haben, weshalb ihnen bereits mangels hinlänglicher zeitlicher Kausalität zur Ausreise keine asylrechtlich relevante Bedeutung mehr zukommt (vgl. Walter Kälin, Grundriss des Asylverfahrens, Basel/Frankfurt a. M. 1990, S. 128, Walter Stöckli, Asyl, in: Uebersax/Rudin/Hugi/Yar/Geiser [Hrsg.], Ausländerrecht, 2. Aufl., Basel 2009, Rz. 11.17 S. 531, BVGE 2007/31 E. 5.2 S. 379).</w:t>
      </w:r>
    </w:p>
    <w:p>
      <w:r>
        <w:rPr>
          <w:b/>
        </w:rPr>
        <w:t>E. 4.5</w:t>
      </w:r>
    </w:p>
    <w:p>
      <w:r>
        <w:t>Im Weiteren stellt sich die Frage, ob dem Beschwerdeführer aufgrund seiner Zugehörigkeit zur Minderheit der staatenlosen Kurden eine asylrelevante Gefährdung droht.</w:t>
      </w:r>
    </w:p>
    <w:p>
      <w:r>
        <w:rPr>
          <w:b/>
        </w:rPr>
        <w:t>E. 4.5.1</w:t>
      </w:r>
    </w:p>
    <w:p>
      <w:r>
        <w:t>Die Kurden stellen die grösste nicht arabische Minderheit in Syrien dar, deren Gesamtzahl auf 1,75 bis 2 Millionen oder etwa 10 % der syrischen Gesamtbevölkerung geschätzt wird. Diese Volksgruppe ist generell einer Diskriminierung ausgesetzt, als es Kurden in Syrien nicht gestattet ist, eigene Schulen zu eröffnen, ihre Sprache zu unterrichten und kulturelle Vereine zur Wahrung ihrer Identität zu gründen. Im Übrigen verbietet die Regierung auch die Publikation von Büchern und Artikeln auf Kurdisch.</w:t>
      </w:r>
    </w:p>
    <w:p>
      <w:r>
        <w:rPr>
          <w:b/>
        </w:rPr>
        <w:t>E. 4.5.2</w:t>
      </w:r>
    </w:p>
    <w:p>
      <w:r>
        <w:t>Noch schwieriger gestaltet sich die Situation für etwa 120'000 bis 200'000 Kurden, welche im Zuge einer von der syrischen Regierung im Jahre 1962 angeordneten ausserordentlichen Volkszählung in der Provinz al-Hasaka faktisch ausgebürgert und damit staatenlos wurden. Sie gelten seither für die syrischen Behörden als "Ausländer" ("Ajanib"), haben aber insofern einen besonderen Rechtsstatus, als sie im Personenstandsregister ihres Heimatortes eingetragen sind und über einen orangeroten Ausländerausweis verfügen, der aber kein Reisepapier darstellt und denn auch nicht zur Ausreise aus Syrien berechtigt. Die Zugehörigkeit zur Gruppe der Ajanib bringt aber auch in vielerlei anderer Hinsicht Nachteile im Alltagsleben mit sich, dies zudem in viel stärkerem Mass als die Zugehörigkeit zur Gruppe der Kurden mit syrischem Bürgerrecht oder aber zu einer anderen Minderheit. Zu diesen Restriktionen gehören beispielsweise kein Zugang zu Stellen im öffentlichen Bereich, die Nichtzulassung zu gewissen Berufen (z.B. demjenigen eines Rechtsanwalts), limitierter Zugang zu medizinischer Versorgung, der Ausschluss vom Erwerb von Grundeigentum und von der Teilnahme an Wahlen.</w:t>
      </w:r>
    </w:p>
    <w:p>
      <w:r>
        <w:rPr>
          <w:b/>
        </w:rPr>
        <w:t>E. 4.5.3</w:t>
      </w:r>
    </w:p>
    <w:p>
      <w:r>
        <w:t>Noch prekärer ist die Lage der sogenannten "Maktumin" ("Verborgene", "Versteckte"), eine weitere, etwa 75'000 bis 100'000 Personen umfassende Kategorie staatenloser Kurden. Diese werden behördlich nicht erfasst und erhalten keinerlei staatliche Dokumente. Sie erhalten lediglich Bescheinigungen des für sie zuständigen Muhtars ihres Wohnsitzortes, die sogenannten "Erkennungszeugnisse". Sie können zwar in der Regel die Grundschule besuchen, erhalten aber keine Abschlusszeugnisse. Sie dürfen keine weiterführenden Schulen oder Universitäten besuchen, keine Berufsausbildung absolvieren, keinen Führerschein erwerben oder Eheschliessungen beziehungsweise Geburten registrieren lassen (vgl. zum Ganzen KurdWatch Bericht 5: Staatenlose Kurden in Syrien. Illegale Eindringlinge oder Opfer nationalistischer Politik? März 2010; SFH, Syrien: Reisedokumente für staatenlose Kurden, 12. Oktober 2009; BFM, Focus Syrien: Aktuelle Lage der Kurden, 18. März 2009; SFH, Syrien: Update, Aktuelle Entwicklungen, 20. August 2008).</w:t>
      </w:r>
    </w:p>
    <w:p>
      <w:r>
        <w:rPr>
          <w:b/>
        </w:rPr>
        <w:t>E. 4.5.4</w:t>
      </w:r>
    </w:p>
    <w:p>
      <w:r>
        <w:t>Das Bundesverwaltungsgericht geht aber in Fortführung der Rechtsprechung der ARK (vgl. EMARK 2002 Nr. 23 E. 4d S. 185 f.) davon aus, dass die vorerwähnten Diskriminierungen für sich allein zu wenig intensiv sind, als dass sie Massnahmen gleichkämen, die einen unerträglichen psychischen Druck bewirken, und damit ernsthafte Nachteile im Sinne von Art. 3 Abs. 2 AsylG darstellen könnten.</w:t>
      </w:r>
    </w:p>
    <w:p>
      <w:r>
        <w:rPr>
          <w:b/>
        </w:rPr>
        <w:t>E. 4.6</w:t>
      </w:r>
    </w:p>
    <w:p>
      <w:r>
        <w:t>Zusammenfassend folgt, dass es dem Beschwerdeführer nicht gelungen ist, für den Zeitpunkt seiner Ausreise aus Syrien eine staatliche Verfolgung im Sinne von Art. 3 AsylG glaubhaft zu machen.</w:t>
      </w:r>
    </w:p>
    <w:p>
      <w:r>
        <w:rPr>
          <w:b/>
        </w:rPr>
        <w:t>E. 5.1</w:t>
      </w:r>
    </w:p>
    <w:p>
      <w:r>
        <w:t>Es bleibt zu prüfen, ob der Beschwerdeführer durch die Ausreise aus dem Heimatstaat - mithin wegen subjektiver Nachfluchtgründe - bei einer Rückkehr befürchten müsste, ernsthaften Nachteilen im Sinne von Art. 3 AsylG ausgesetzt zu werden.</w:t>
      </w:r>
    </w:p>
    <w:p>
      <w:r>
        <w:rPr>
          <w:b/>
        </w:rPr>
        <w:t>E. 5.2</w:t>
      </w:r>
    </w:p>
    <w:p>
      <w:r>
        <w:t>Als subjektive Nachfluchtgründe gelten insbesondere illegales Verlassen des Heimatlandes (sogenannte Republikflucht), Einreichung eines Asylgesuchs im Ausland oder eine aus der Sicht der heimatstaatlichen Behörden unerwünschte exilpolitische Betätigung, wenn diese Komponenten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5.3</w:t>
      </w:r>
    </w:p>
    <w:p>
      <w:r>
        <w:t>Wie der Botschaftsantwort der schweizerischen Vertretung in Damaskus vom 31. Juli 2008 zu entnehmen ist, wird der Beschwerdeführer wegen eines illegalen Ausreiseversuchs im Jahre 2004 behördlich gesucht. Des Weiteren hält die Schweizer Botschaft in ihrem Bericht fest, dass der Beschwerdeführer Syrien illegal verlassen hat. Darüber hinaus kann aufgrund der Aussagen des Beschwerdeführers vor den schweizerischen Asylbehörden nicht ausgeschlossen werden, dass er im Jahre 2003 tatsächlich wegen eines weiteren illegalen Ausreiseversuchs in die Türkei Anfang 2003 sechs Monate lang inhaftiert gewesen ist. Es ist deshalb anzunehmen, dass die syrischen Behörden den Beschwerdeführer bei einer allfälligen Rückkehr a priori einer einlässlichen Kontrolle unterziehen würden, da er nicht bloss einmalig, sondern wiederholt den Tatbestand der illegalen Einreise erfüllt hat. Im vorliegenden Fall tritt erschwerend hinzu, dass der Beschwerdeführer zusätzlich geltend gemacht hat, am 13. März 2004 im Rahmen der Unruhen von Qamishli in Damaskus festgenommen worden und anschliessend zwei Monate lang inhaftiert gewesen zu sein. Seine diesbezüglichen Angaben vermitteln im historischen Kontext den Anschein von Authentizität, was die Vorinstanz denn auch dazu verhalten haben dürfte, die Glaubhaftigkeit seiner diesbezüglichen Ausführungen in ihrer Verfügung vom 11. September 2008 nicht anzuzweifeln. Es kann somit auch nicht ausgeschlossen werden, dass einer der zahlreichen Geheimdienste in Syrien damals eine Akte über den Beschwerdeführer angelegt hat. Diesfalls bestünde indessen die erhöhte Gefahr, dass der Beschwerdeführer seitens der Einwanderungsbehörden in das Anhaltezentrum des Sicherheitsdienstes überstellt würde (vgl. Bericht des Austrian Centre for Country of Origin &amp; Asylum Research and Documentation (ACCORD) und des Danish Immigration Service ["Menschenrechtliche Fragestellungen zu KurdInnen in Syrien"] vom Mai 2010, S. 63 f.). Dabei muss auch die Gefahr, flüchtlingsrelevanten Nachteilen, namentlich Misshandlung und Folter ausgesetzt zu werden, als beachtlich eingestuft werden.</w:t>
      </w:r>
    </w:p>
    <w:p>
      <w:r>
        <w:rPr>
          <w:b/>
        </w:rPr>
        <w:t>E. 5.4</w:t>
      </w:r>
    </w:p>
    <w:p>
      <w:r>
        <w:t>Im vorliegenden Fall ist somit davon auszugehen, dass der Beschwerdeführer bei einer Rückkehr nach Syrien einer erhöhten Gefahr ausgesetzt wäre, im Rahmen der bei der Einreise zu erwartenden Befragungen Opfer flüchtlingsrechtlich relevanter Behelligungen zu werden. Die Furcht des Beschwerdeführers davor ist entsprechend als begründet im Sinne von Art. 3 Abs. 1 AsylG zu erachten. Der Beschwerdeführer erfüllt somit die Flüchtlingseigenschaft - dies freilich erst aufgrund subjektiver Nachfluchtgründe, was gemäss Art. 54 AsylG eine Asylgewährung ausschliesst. Die Ablehnung des Asylgesuchs durch die Vorinstanz ist folglich im Ergebnis zu bestätigen.</w:t>
      </w:r>
    </w:p>
    <w:p>
      <w:r>
        <w:rPr>
          <w:b/>
        </w:rPr>
        <w:t>E. 6.1</w:t>
      </w:r>
    </w:p>
    <w:p>
      <w:r>
        <w:t>Im Sinne eines Zwischenergebnisses ist daher festzuhalten, dass dem Beschwerdeführer zufolge Bestehens subjektiver Nachfluchtgründe die Flüchtlingseigenschaft zuzuerkennen ist. Durch die Anerkennung der Flüchtlingseigenschaft des Beschwerdeführers - und gleichzeitiger Abweisung des Asylgesuchs wegen eines Asylausschlussgrundes - wird im vorliegenden Beschwerdeverfahren gleichzeitig ein völkerrechtlich begründetes Wegweisungshindernis festgestellt. Ein Wegweisungsvollzug des Beschwerdeführers als Flüchtling würde Art. 5 AsylG sowie Art. 3 EMRK verletzen und wäre demnach unzulässig im Sinne von Art. 83 Abs. 3 AuG (vgl. indes nachstehend E. 6. 3).</w:t>
      </w:r>
    </w:p>
    <w:p>
      <w:r>
        <w:rPr>
          <w:b/>
        </w:rPr>
        <w:t>E. 6.2</w:t>
      </w:r>
    </w:p>
    <w:p>
      <w:r>
        <w:t>Lehnt das Bundesamt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6.3</w:t>
      </w:r>
    </w:p>
    <w:p>
      <w:r>
        <w:t>Nach der Heirat mit einer im Besitze einer Niederlassungsbewilligung befindlichen ausländischen Staatsangehörigen erhielt der Beschwerdeführer vom Kanton K._______ am 25. Mai 2011 eine Aufenthaltsbewilligung im Sinne von Art. 33 AuG. Die Anordnungen des Bundesamtes betreffend Wegweisung und Vollzug derselben (Ziffern 3 - 5 des Dispositivs der Verfügung vom 11. September 2008) sind unter diesen Umständen als dahin gefallen zu betrachten, da diese gegenüber dem neu erteilten Aufenthaltstitel keinen Bestand haben können (vgl. EMARK 2001 Nr. 21 E. 11c S. 178; 2000 Nr. 30 E. 4 S. 251). Die Beschwerde ist somit zufolge Wegfalls des Streitgegenstandes als gegen­standslos geworden abzuschreiben, soweit beantragt wird, es sei die Unzulässigkeit oder zumindest die Unzumutbarkeit des Wegweisungsvollzugs festzustellen und die vorläufige Aufnahme anzuordnen.</w:t>
      </w:r>
    </w:p>
    <w:p>
      <w:r>
        <w:rPr>
          <w:b/>
        </w:rPr>
        <w:t>E. 7</w:t>
      </w:r>
    </w:p>
    <w:p>
      <w:r>
        <w:t>Zusammenfassend ist festzuhalten, dass es dem Beschwerdeführer bezüglich der Frage der Gewährung von Asyl nicht gelungen ist, darzutun, inwiefern die angefochtene Verfügung Bundesrecht verletzt, den rechtserheblichen Sachverhalt unrichtig und unvollständig feststellt und unangemessen ist (vgl. Dispositiv Ziff. 2). Soweit der Beschwerdeführer mithin die Asylgewährung beantragt, ist die Beschwerde abzuweisen. Die Beschwerde ist demgegenüber hinsichtlich des Begehrens um Zuerkennung der Flüchtlingseigenschaft gutzuheissen und die angefochtene Verfügung aufzuheben, soweit sie die Flüchtlingseigenschaft des Beschwerdeführers verneint (vgl. Dispositiv Ziff. 1). Hinsichtlich der Anordnung der Wegweisung und damit auch hinsichtlich des Wegweisungsvollzugs ist die angefochtene Verfügung gegenstandslos geworden.</w:t>
      </w:r>
    </w:p>
    <w:p>
      <w:r>
        <w:rPr>
          <w:b/>
        </w:rPr>
        <w:t>E. 8.1</w:t>
      </w:r>
    </w:p>
    <w:p>
      <w:r>
        <w:t>Der Beschwerdeführer ist im vorliegenden Verfahren unterlegen, soweit er beantragt, die Verfügung des Bundesamtes vom 11. September 2008 sei aufzuheben und ihm Asyl zu gewähren, weshalb er grundsätzlich in reduziertem Umfang kostenpflichtig würde (vgl. Art. 63 Abs. 1 VwVG). Der Beschwerdeführer hat indessen im Rahmen seiner Beschwerde ein Gesuch um Gewährung der unentgeltlichen Rechtspflege im Sinne von Art. 65 Abs. 1 VwVG gestellt, das vom Instruktionsrichter mit Verfügung vom 17. Oktober 2008 auf einen späteren Zeitpunkt verwiesen worden ist. Da sich die Beschwerde als nicht zum Vornherein aussichtslos erweist und der Beschwerdeführer aufgrund der Akten nach wie vor keiner Erwerbstätigkeit nachgeht, ist das Gesuch um Gewährung der unentgeltlichen Rechtspflege - soweit nicht durch die teilweise Gutheissung der Beschwerde gegenstandslos geworden - gutzuheissen und auf die Erhebung von Verfahrenskosten zu verzichten.</w:t>
      </w:r>
    </w:p>
    <w:p>
      <w:r>
        <w:rPr>
          <w:b/>
        </w:rPr>
        <w:t>E. 8.2</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einen Drittel zu reduzierende Entschädigung für die ihm notwendigerweise erwachsenen Parteikosten zuzusprechen. Der Rechtsvertreter des Beschwerdeführers hat zusammen mit seiner Stellungnahme vom 29. August 2011 eine Honorarnote im Gesamtbetrag von Fr. 2'718.05 (Zeitaufwand von 12.30 Stunden zu einem Stundenansatz von Fr. 200.- plus Spesen und Mehrwertsteuer von 7.6% beziehungsweise 8%) eingereicht, welche als angemessen erscheint. Gestützt auf die in Betracht zu ziehenden Bemessungsfaktoren (Art. 8-13 VGKE) ist dem Beschwerdeführer deshalb zu Lasten der Vorinstanz eine reduzierte Parteientschädigung von Fr. 1'812.- (inklusive Mehrwertsteuer und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