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D-6464/2017 vom 29. März 2019</w:t>
      </w:r>
    </w:p>
    <w:p>
      <w:r>
        <w:t>Bundesverwaltungsgericht, 2019-03-29, DE</w:t>
      </w:r>
    </w:p>
    <w:p>
      <w:r>
        <w:rPr>
          <w:b/>
        </w:rPr>
        <w:t xml:space="preserve">Quelle: </w:t>
      </w:r>
      <w:r>
        <w:t>https://mcp.opencaselaw.ch/entscheid/bvger_D-6464_2017</w:t>
      </w:r>
    </w:p>
    <w:p>
      <w:r>
        <w:t>FR: TAF D-6464/2017 du 29 mars 2019</w:t>
      </w:r>
    </w:p>
    <w:p>
      <w:r>
        <w:t>IT: TAF D-6464/2017 del 29 marzo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 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welche vorab zu prüfen sind, da sie allenfalls geeignet wären, eine Kassation der vorin- stanzlichen Verfügung zu bewirken (vgl. BVGE 2013/34 E. 4.2).</w:t>
      </w:r>
    </w:p>
    <w:p>
      <w:r>
        <w:rPr>
          <w:b/>
        </w:rPr>
        <w:t>E. 3.2</w:t>
      </w:r>
    </w:p>
    <w:p>
      <w:r>
        <w:t>Die Beschwerdeführenden rügen in formeller Hinsicht eine unvollständige Feststellung des Sachverhalts und damit einhergehend eine Verletzung der Untersuchungspflicht. Sie kritisieren, dass die Vorinstanz in der angefochtenen Verfügung nicht auf die Aussagen der Eltern und der Schwester des Beschwerdeführers Bezug genommen habe. Dies wäre jedoch notwendig gewesen, sei doch die Familie des Beschwerdeführers, insbesondere seine Mutter, ebenfalls von dessen Verfolgung betroffen. Zudem hätten die vom Vater dargelegten Asylgründe ebenfalls einen Einfluss auf die Situation des Beschwerdeführers.</w:t>
      </w:r>
    </w:p>
    <w:p>
      <w:r>
        <w:rPr>
          <w:b/>
        </w:rPr>
        <w:t>E. 3.3</w:t>
      </w:r>
    </w:p>
    <w:p>
      <w:r>
        <w:t>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 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Die Begründungspflicht, welche sich aus dem Anspruch auf rechtliches Gehör (Art. 29 VwVG) ergibt, verlangt, dass die Behörde ihren Entscheid so begründet, dass der Betroffene den Entscheid gegebenenfalls sachgerecht anfechten kann und sich sowohl der Betroffene als auch die Rechtsmittel- instanz über die Tragweite des Entscheides ein Bild machen können (vgl. Lorenz Kneubühler, in: Auer/Müller/Schindler [Hrsg.], Kommentar zum Bundesgesetz über das VwVG, 2. Aufl. 2019, N. 6 ff. zu Art. 35; BVGE 2007/30 E. 5.6). Dabei kann sich die verfügende Behörde auf die wesentlichen Gesichtspunkte beschränken, hat jedoch wenigstens die Überlegungen kurz anzuführen, von denen sie sich leiten liess und auf welche sie ihren Entscheid stützt (vgl. BVGE 2008/47 E. 3.2).</w:t>
      </w:r>
    </w:p>
    <w:p>
      <w:r>
        <w:rPr>
          <w:b/>
        </w:rPr>
        <w:t>E. 3.4</w:t>
      </w:r>
    </w:p>
    <w:p>
      <w:r>
        <w:t>Um einen Aktenbeizug zu indizieren, reicht ein bloss hypothetisch denkbares Vorliegen eines Verfolgungszusammenhanges mit Bestimmtheit nicht. Dagegen können das konkrete Geltendmachen einer entsprechenden Reflexverfolgung, die zuerkannte Flüchtlingseigenschaft von engen Verwandten, aber auch objektive Gründe Anlass für einen Aktenbeizug von Amtes wegen geben und sich gar aufdrängen. Diesfalls müsste der Beizug auch seinen Niederschlag im Asylentscheid respektive vorgängig im Rahmen der Gewährung des rechtlichen Gehörs finden, dies mittels Erwähnung des erfolgten Beizugs sowie der Mitteilung und Begründung des Beizugsergebnisses (vgl. Urteil des BVGer D-5494/2017 vom 9. Mai 2018 E. 5.2 m.w.H.).</w:t>
      </w:r>
    </w:p>
    <w:p>
      <w:r>
        <w:rPr>
          <w:b/>
        </w:rPr>
        <w:t>E. 3.5</w:t>
      </w:r>
    </w:p>
    <w:p>
      <w:r>
        <w:t>Der Beschwerdeführer nahm in seiner Anhörung mehrfach Bezug auf seine Familie. So erwähnte er unter anderem, dass sein Vater einen Anwalt besorgt habe und "sie" (vermutlich seine Eltern respektive seine Familie) ihr Restaurant als Pfand hinterlegt hätten, um ihm einen Hafturlaub zu ermöglichen (vgl. SEM act. A39 F47). Er habe ausserdem seinen Entschluss, nicht aus dem Urlaub in die Haft zurückzukehren, mit seinen Eltern besprochen (vgl. SEM act. A39 F49). Ein Aktenbeizug war vor diesem Hintergrund durchaus angezeigt, zumal das SEM die Glaubhaftigkeit der Vorbringen des Beschwerdeführers in Zweifel zog beziehungsweise schlussendlich verneinte. Dies gilt umso mehr, als im vorliegenden Fall lediglich eine stark verkürzte BzP durchgeführt und auf die Befragung zu den Asylgründen verzichtet wurde, womit die Glaubhaftigkeitsprüfung insofern einschränkt wurde, als nicht geprüft werden kann, ob die asylsuchende Person ihre Asylgründe an zwei zeitlich auseinanderliegenden Befragungen widerspruchsfrei darlegen kann. Ein Beizug der Akten der Eltern des Bescherdeführers drängte sich demnach auf. Dieser Auffassung war offensichtlich auch das SEM. Wie einer internen Aktennotiz vom 20. Oktober 2017 zu entnehmen ist, wurden die Asylakten der Eltern und der Schwester des Beschwerdeführers (N [...]) konsultiert (SEM act. A41).</w:t>
      </w:r>
    </w:p>
    <w:p>
      <w:r>
        <w:rPr>
          <w:b/>
        </w:rPr>
        <w:t>E. 3.6</w:t>
      </w:r>
    </w:p>
    <w:p>
      <w:r>
        <w:t>Nach Durchsicht des Beizugsdossiers N (...) ist festzuhalten, dass den Befragungsprotokollen der Eltern durchaus Hinweise auf die Asylvorbringen des Beschwerdeführers zu entnehmen sind. Auch wenn in den Befragungen der Eltern der Fokus nicht auf den Beschwerdeführer beziehungsweise dessen Asylvorbringen gelegt wurde, ergeben sich mehrere seine Asylvorbringen stützende Aussagen. So sagte der Vater beispielsweise aus, der Beschwerdeführer habe beim Sicherheitsdienst (...) gearbeitet und ihm sei vorgeworfen worden, er habe (...) fotografiert und das Foto ins Ausland geschickt (vgl. SEM act. N [...] A3 7.02 [BzP Vater]). Dass er (...) fotografiert habe, hatte der Beschwerdeführer auch selbst ausgesagt (vgl. SEM act. A39 F18). Die Mutter brachte vor, dass sie aufgrund der politischen Aktivitäten des Beschwerdeführers habe ausreisen müssen und schilderte in Übereinstimmung mit den Angaben ihres Sohnes, wie sie die Haft, die Hinterlegung der Kaution und seine Flucht erlebt habe (vgl. SEM act. N [...] A18 F73 ff. [Anhörung Mutter]).</w:t>
      </w:r>
    </w:p>
    <w:p>
      <w:r>
        <w:rPr>
          <w:b/>
        </w:rPr>
        <w:t>E. 3.7</w:t>
      </w:r>
    </w:p>
    <w:p>
      <w:r>
        <w:t>Die Vorinstanz genügt ihrer Abklärungs- und Begründungspflicht dann, wenn sie alle für den Entscheid wesentlichen Aspekte erfasst und im Rahmen der Begründung die wesentlichen Überlegungen nennt, welche sie ihrem Entscheid zugrunde legt. Diesen Anforderungen ist sie hier nicht nachgekommen, indem der vorerwähnte Aktenbeizug keinen Niederschlag im Asylentscheid findet, der angefochtenen Verfügung mithin nicht zu entnehmen ist, welche Erkenntnisse das SEM aus dem Aktenbeizug gewonnen hat, obwohl den Angaben der Eltern diverse mit dem Beschwerdeführer übereinstimmende Angaben zu entnehmen sind und dies durchaus zu dessen Gunsten in eine Gesamtabwägung der Glaubhaftigkeitsprüfung miteinzubeziehen wäre. Das SEM wäre gehalten gewesen, diese für den Entscheid wesentlichen Aspekte in seinem Asylentscheid zu beachten und zu begründen, wie sich diese auf die Glaubhaftigkeit der Aussagen des Beschwerdeführers auswirken. Indem es dies nicht getan hat, hat es seine Untersuchungs- respektive Begründungspflicht verletzt.</w:t>
      </w:r>
    </w:p>
    <w:p>
      <w:r>
        <w:rPr>
          <w:b/>
        </w:rPr>
        <w:t>E. 3.8</w:t>
      </w:r>
    </w:p>
    <w:p>
      <w:r>
        <w:t>Der festgestellte Verfahrensmangel führt grundsätzlich - ungeachtet der materiellen Auswirkungen - zur Aufhebung der angefochtenen Verfügung. Eine Heilung ist vorliegend aufgrund der Schwere der Verletzung nicht möglich und es ist nicht Sache der Bundesverwaltungsgerichts, die Mängel und Versäumnisse selber zu heilen und als letzte Instanz einen neuen, unter Umständen negativen Entscheid zu treffen, da der Instanzenverlust abermals eine Verletzung des Anspruchs auf rechtlichen Gehör bewirken würde (zur Frage der Heilbarkeit vgl. auch das Urteil des BVGer E-7452/2014 vom 13. Februar 2015 E. 6.5, m.w.H.). Die Heilung einer Gehörsverletzung aus prozessökonomischen Gründen auf Beschwerdeebene kommt vorliegend auch deshalb nicht in Betracht, weil das SEM im Rahmen des Schriftenwechsels in keiner Weise auf die relevanten und zutreffenden Beschwerderügen betreffend Aktenbeizug eingegangen ist.</w:t>
      </w:r>
    </w:p>
    <w:p>
      <w:r>
        <w:rPr>
          <w:b/>
        </w:rPr>
        <w:t>E. 4</w:t>
      </w:r>
    </w:p>
    <w:p>
      <w:r>
        <w:t>Die Beschwerde ist insoweit gutzuheissen, als eine Kassation beantragt wird. Die angefochtene Verfügung ist aufzuheben und die Sache an die Vorinstanz zurückzuweisen. Das SEM ist dabei gehalten, den rechtserheblichen Sachverhalt vollständig und richtig abzuklären und zu erfassen, den Anspruch der Beschwerdeführenden auf rechtliches Gehör zu wahren und gestützt darauf einen neuen Entscheid zu fällen. Bei dieser Sachlage erübrigt sich eine Auseinandersetzung mit den weiteren Vorbringen in der Beschwerde.</w:t>
      </w:r>
    </w:p>
    <w:p>
      <w:r>
        <w:rPr>
          <w:b/>
        </w:rPr>
        <w:t>E. 5.1</w:t>
      </w:r>
    </w:p>
    <w:p>
      <w:r>
        <w:t>Bei diesem Ausgang des Verfahrens sind keine Kosten zu erheben (Art. 63 Abs. 1 und 2 VwVG).</w:t>
      </w:r>
    </w:p>
    <w:p>
      <w:r>
        <w:rPr>
          <w:b/>
        </w:rPr>
        <w:t>E. 5.2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Mit Eingabe vom 19. Juni 2018 reichte der Rechtsvertreter eine Kostennote ein. Der darin aufgeführte Aufwand erscheint angemessen. Somit ist den Beschwerdeführenden gestützt auf die in Betracht zu ziehenden Bemessungsfaktoren (Art. 9-13 VGKE) zulasten der Vorinstanz eine Parteientschädigung von insgesamt Fr. 2'290.-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