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D-6463/2015 vom 21. Oktober 2015</w:t>
      </w:r>
    </w:p>
    <w:p>
      <w:r>
        <w:t>Bundesverwaltungsgericht, 2015-10-21, DE</w:t>
      </w:r>
    </w:p>
    <w:p>
      <w:r>
        <w:rPr>
          <w:b/>
        </w:rPr>
        <w:t xml:space="preserve">Quelle: </w:t>
      </w:r>
      <w:r>
        <w:t>https://mcp.opencaselaw.ch/entscheid/bvger_D-6463_2015</w:t>
      </w:r>
    </w:p>
    <w:p>
      <w:r>
        <w:t>FR: TAF D-6463/2015 du 21 octobre 2015</w:t>
      </w:r>
    </w:p>
    <w:p>
      <w:r>
        <w:t>IT: TAF D-6463/2015 del 21 ottobre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Für Asylgesuche, die im Ausland vor Inkrafttreten der Asylgesetzände­rung vom 28. September 2012 gestellt worden sind, gelten die Artikel 12, 19, 20, 41 Abs. 2, 52 und 68 in ihrer bisherigen Fassung (vgl. Übergangs­bestimmung zur Änderung vom 28. September 2012). Demnach sind auf den vorliegenden Fall die bisherigen Bestimmungen betreffend das Auslandverfahren anzuwenden.</w:t>
      </w:r>
    </w:p>
    <w:p>
      <w:r>
        <w:rPr>
          <w:b/>
        </w:rPr>
        <w:t>E. 5</w:t>
      </w:r>
    </w:p>
    <w:p>
      <w:r>
        <w:t>Ein Asylgesuch kann gemäss aArt. 19 Abs. 1 AsylG im Ausland bei einer schweizerischen Vertretung gestellt werden, die es mit einem Be­richt an das SEM überweist (aArt. 20 Abs. 1 AsylG). Hinsichtlich des Verfahrens bei der Schweizerischen Vertretung im Ausland sieht aArt. 10 der Asylverordnung 1 vom 11. August 1999 über Verfahrensfragen (AsylV 1, SR 142.311) vor, dass diese mit der asylsuchenden Person in der Regel eine Befragung durchführt, was vorliegend geschehen ist.</w:t>
      </w:r>
    </w:p>
    <w:p>
      <w:r>
        <w:rPr>
          <w:b/>
        </w:rPr>
        <w:t>E. 6.1</w:t>
      </w:r>
    </w:p>
    <w:p>
      <w:r>
        <w:t>Das SEM bewilligt Asylsuchenden die Einreise in die Schweiz zur Abklärung des Sachverhalts, wenn ihnen nicht zugemutet werden kann, im Wohnsitz- oder Aufenthaltsort zu bleiben oder in einen anderen Staat auszureisen (aArt. 20 Abs. 2 AsylG). Ein Verbleib ist namentlich dann unzumutbar, wenn die asylsuchende Person schutzbedürftig ist, d.h. wenn sie in ihrem Heimatstaat oder im Land, in dem sie zuletzt wohnte, wegen ihrer Rasse, Religion, Nationalität, Zugehörigkeit zu einer bestimmten sozialen Gruppe oder ihrer politischen Anschauungen wegen ernsthaften Nachteilen ausgesetzt ist oder begründete Furcht hat, solchen Nachteilen ausgesetzt zu werden (Art. 3 AsylG).</w:t>
      </w:r>
    </w:p>
    <w:p>
      <w:r>
        <w:rPr>
          <w:b/>
        </w:rPr>
        <w:t>E. 6.2</w:t>
      </w:r>
    </w:p>
    <w:p>
      <w:r>
        <w:t>Das SEM kann ein im Ausland gestelltes Asylgesuch ablehnen - und damit auch die Einreise in die Schweiz verweigern -, wenn keine Hinweise auf eine aktuelle Gefährdung im Sinne von Art. 3 AsylG vorliegen oder es der gesuchstellenden Person zuzumuten ist, sich in einem Drittstaat um Aufnahme zu bemühen (aArt. 52 Abs. 2 AsylG).</w:t>
      </w:r>
    </w:p>
    <w:p>
      <w:r>
        <w:rPr>
          <w:b/>
        </w:rPr>
        <w:t>E. 6.3</w:t>
      </w:r>
    </w:p>
    <w:p>
      <w:r>
        <w:t>Die Voraussetzungen zur Erteilung einer Einreisebewilligung sind grundsätzlich restriktiv zu handhaben,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(vgl. zum Ganzen BVGE 2011/10).</w:t>
      </w:r>
    </w:p>
    <w:p>
      <w:r>
        <w:rPr>
          <w:b/>
        </w:rPr>
        <w:t>E. 7.1</w:t>
      </w:r>
    </w:p>
    <w:p>
      <w:r>
        <w:t>Gemäss schweizerischer Asylpraxis ist für die Gewährung der Einreise die Gefährdung einer asylsuchenden Person im Zeitpunkt der Einreisebewilligung massgebend. Vergangene Verfolgung ist somit nur dann beachtlich, wenn sie noch andauert oder konkrete Hinweise auf eine künftige Verfolgung bestehen. Befürchtungen, künftig staatlichen oder quasi-staatlichen Verfolgungsmassnahmen ausgesetzt zu sein, sind nur dann einreisebeachtlich, wenn begründeter Anlass zur Annahme besteht, dass sich die Verfolgung mit beachtlicher Wahrscheinlichkeit und in absehbarer Zukunft verwirklichen wird.</w:t>
      </w:r>
    </w:p>
    <w:p>
      <w:r>
        <w:rPr>
          <w:b/>
        </w:rPr>
        <w:t>E. 7.2</w:t>
      </w:r>
    </w:p>
    <w:p>
      <w:r>
        <w:t>Nach Prüfung der Akten können diesen keine Hinweise entnommen werden, wonach der Beschwerdeführer gegenwärtig einer konkreten Gefährdung ausgesetzt ist oder eine unmittelbar drohende Gefährdung akut zu befürchten hätte. Wie vom SEM zutreffend angeführt, kommt den Drohanrufen - unabhängig von deren Urheber - aufgrund mangelnder Intensität per se kein Verfolgungscharakter, selbst wenn es zu einer erneuten nächtlichen Drohanrufserie gekommen sein sollte, weshalb nicht von einer akuten Gefährdung beziehungsweise von einer asylrechtlich relevanten Verfolgung ausgegangen werden kann, auch wenn nicht in Abrede zu stellen ist, dass diese Kontaktnahmen, die Wahrheit vorausgesetzt, belastend gewesen sein mussten. Sodann ist festzuhalten, dass die Ausführungen zur allgemeinen Menschenrechtlage in Sri Lanka für das vorliegende Verfahren mangels unmittelbarem Bezug zum Beschwerdeführer irrelevant sind, weshalb sich eine Auseinandersetzung mit denselben vorliegend erübrigt. Es kann im Weiteren auf die zutreffende vorinstanzliche Verfügung verwiesen werden, welche nicht zu beanstanden ist. Zusammenfassend ergibt sich, dass vorliegend nicht ersichtlich ist, dass der Beschwerdeführer auf die Schutzgewährung durch die Schweiz angewiesen beziehungsweise ihm gerade die Schweiz den erforderlichen Schutz gewähren muss. Der weitere Verbleib in Sri Lanka ist ihm nach dem Gesagten zuzumuten. Im Übrigen ist auch eine Beziehungsnähe des Beschwerdeführers zur Schweiz zu verneinen (aArt. 52 Abs. 2 AsylG). Die Vorinstanz hat demnach dem Beschwerdeführer zu Recht die Einreise in die Schweiz verweigert und das Asylgesuch abgelehnt.</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wären dessen Kosten grundsätzlich den Beschwerdeführenden aufzuerlegen (Art. 63 Abs. 1 und 5 VwVG). Aus verwaltungsökonomischen Gründen und in Anwendung von Art. 63 Abs. 1 in fine VwVG und Art. 2 und 6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