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D-6460/2015 vom 13. September 2016</w:t>
      </w:r>
    </w:p>
    <w:p>
      <w:r>
        <w:t>Bundesverwaltungsgericht, 2016-09-13, DE</w:t>
      </w:r>
    </w:p>
    <w:p>
      <w:r>
        <w:rPr>
          <w:b/>
        </w:rPr>
        <w:t xml:space="preserve">Quelle: </w:t>
      </w:r>
      <w:r>
        <w:t>https://mcp.opencaselaw.ch/entscheid/bvger_D-6460_2015</w:t>
      </w:r>
    </w:p>
    <w:p>
      <w:r>
        <w:t>FR: TAF D-6460/2015 du 13 septembre 2016</w:t>
      </w:r>
    </w:p>
    <w:p>
      <w:r>
        <w:t>IT: TAF D-6460/2015 del 13 settembre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Das SEM hat mit Verfügung vom 10. September 2015 den Vollzug der Wegweisung durch die Anordnung der vorläufigen Aufnahme des Beschwerdeführers ersetzt. Gegenstand des vorliegenden Verfahrens bildet somit die Frage der Gewährung von Asyl, der Anerkennung der Flüchtlingseigenschaft sowie der Wegweisung an sich.</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Mit der Vorinstanz ist festzuhalten, dass die Vorbringen des Beschwerdeführers weder den Anforderungen an die Flüchtlingseigenschaft gemäss Art. 3 AsylG noch denjenigen an die Glaubhaftigkeit gemäss Art. 7 AsylG zu genügen vermögen. Zur Vermeidung von Wiederholungen kann auf die zutreffenden Ausführungen des SEM in der angefochtenen Verfügung verwiesen werden (vgl. auch Bst. D hiervor). Ihnen ist nichts mehr hinzuzufügen. Die grundsätzlich unverändert wiedergegebenen Vorbringen in der Rechtsmittel­eingabe sind nicht geeignet, eine Ände­rung der angefochtenen Verfügung herbeizuführen. Dem Beschwerdeführer wurde bereits mit Zwischenverfügung vom 16. November 2015 ausführlich dargelegt, weshalb seine Vorbringen in der Be­schwerde - da aus­sichtslos - keine andere Beurteilung in der Frage der Asylgewährung zu bewirken ver­mögen. Die Sachlage hinsichtlich der Begeh­ren von damals hat sich zwi­schenzeitlich nicht wesentlich verändert, auch wenn die Ehefrau des Beschwerdeführers und die Kinder Na. und Vi. am 23. Juni 2016 - über zwei Jahre nach der Einreise in die Schweiz - hier um Asyl nachsuchten. Die Argumentation in der Beschwerde, die einzelnen Aktivitäten der jeweiligen Kinder vermöchten keine Reflexverfolgung für den Beschwerdeführer zu begründen, gesamthaft weise die Familie aber ein derart hohes politisches Profil auf, dass trotzdem reflexartig die Gefahr einer zukünftigen Verfolgung bestehe, ist nicht stichhaltig. Aus den Aussagen des Beschwerdeführers ist zu schliessen, dass ihm aus der Teilnahme seiner Kinder an Demonstrationen keine asylrelevanten Nachteile entstanden (vgl. A 15 Frage 43 S. 7). Der Antrag auf Beizug der Akten von Familienangehörigen, die Asyl erhalten hätten, ist abzuweisen, da der Beschwerdeführer nicht konkret darlegte, inwiefern er durch die Asylgewährung eine Reflexverfolgung zu befürchten hätte. Der Hinweis auf das Asylverfahren seines Sohnes Re., der in der Schweiz vorläufig aufgenommen wurde, ist unbehelflich, da dessen Beschwerde mit Urteil des Bundesverwaltungsgerichts E-6005/2015 vom 29. Dezember 2015 und das Revisionsgesuch mit Urteil E-1066/2016 vom 7. März 2016 abgewiesen wurden. Zur Vermeidung von Wiederholungen kann im Weiteren ebenfalls auf die entsprechenden Ausführungen in der Zwischenverfügung vom 16. November 2015 verwiesen werden (vgl. auch Bst. F hiervor).</w:t>
      </w:r>
    </w:p>
    <w:p>
      <w:r>
        <w:rPr>
          <w:b/>
        </w:rPr>
        <w:t>E. 6.2</w:t>
      </w:r>
    </w:p>
    <w:p>
      <w:r>
        <w:t>Zusammenfassend ist festzustellen, dass der Beschwerdeführer nicht darzutun vermochte, dass er einer Verfolgung im Sinne von Art. 3 AsylG ausgesetzt war oder begründete Furcht hat, einer solchen aus­gesetzt werden zu können. Er kann daher nicht als Flüchtling aner­kannt werden. Die Vorinstanz hat das Asylgesuch des Beschwerdefüh­rers demnach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Der Beschwerdeführer wurde mit Verfügung des SEM vom 10. September 2015 wegen Unzumutbarkeit des Vollzugs der Wegweisung in der Schweiz vorläufig aufge­nommen. Bei dieser Sachlage erübrigen sich weitere Ausführungen zur Fra­ge der Durchführbarkeit des Vollzuges.</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am 27. November 2015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