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D-6450/2010 vom 4. September 2012</w:t>
      </w:r>
    </w:p>
    <w:p>
      <w:r>
        <w:t>Bundesverwaltungsgericht, 2012-09-04, DE</w:t>
      </w:r>
    </w:p>
    <w:p>
      <w:r>
        <w:rPr>
          <w:b/>
        </w:rPr>
        <w:t xml:space="preserve">Quelle: </w:t>
      </w:r>
      <w:r>
        <w:t>https://mcp.opencaselaw.ch/entscheid/bvger_D-6450_2010</w:t>
      </w:r>
    </w:p>
    <w:p>
      <w:r>
        <w:t>FR: TAF D-6450/2010 du 4 septembre 2012</w:t>
      </w:r>
    </w:p>
    <w:p>
      <w:r>
        <w:t>IT: TAF D-6450/2010 del 4 settembre 2012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sie die Frage der Flüchtlingseigenschaft betrifft, im Übrigen wird sie abgewiesen.</w:t>
      </w:r>
    </w:p>
    <w:p>
      <w:r>
        <w:rPr>
          <w:b/>
        </w:rPr>
        <w:t>E. 2</w:t>
      </w:r>
    </w:p>
    <w:p>
      <w:r>
        <w:t>Die Verfügung des BFM vom 9. August 2010 wird hinsichtlich der Dispo­si­tivziffer 1 aufgehoben und das Bundesamt angewiesen, die Beschwerdeführenden als Flüchtlinge anzuerkennen.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hat den Beschwerdeführenden eine Parteientschädigung im Betrag von Fr. 600.- (inkl. Auslagen und MWST) auszurichten.</w:t>
      </w:r>
    </w:p>
    <w:p>
      <w:r>
        <w:rPr>
          <w:b/>
        </w:rPr>
        <w:t>E. 5</w:t>
      </w:r>
    </w:p>
    <w:p>
      <w:r>
        <w:t>Dieses Urteil geht an den Rechtsvertreter der Beschwerdeführenden, das BFM und die zuständige kantonale Behörde.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