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D-6448/2015 vom 15. April 2016</w:t>
      </w:r>
    </w:p>
    <w:p>
      <w:r>
        <w:t>Bundesverwaltungsgericht, 2016-04-15, DE</w:t>
      </w:r>
    </w:p>
    <w:p>
      <w:r>
        <w:rPr>
          <w:b/>
        </w:rPr>
        <w:t xml:space="preserve">Quelle: </w:t>
      </w:r>
      <w:r>
        <w:t>https://mcp.opencaselaw.ch/entscheid/bvger_D-6448_2015</w:t>
      </w:r>
    </w:p>
    <w:p>
      <w:r>
        <w:t>FR: TAF D-6448/2015 du 15 avril 2016</w:t>
      </w:r>
    </w:p>
    <w:p>
      <w:r>
        <w:t>IT: TAF D-6448/2015 del 15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SEM hat im angefochtenen Entscheid im Sachverhalt die entscheidrelevanten Aussagen des Beschwerdeführers gewürdigt und sich auf seine Kernaussagen beschränkt. Entgegen den Beschwerdevorbringen ist diese Vorgehensweise nicht zu beanstanden, ist die Vorinstanz doch praxisgemäss nicht gehalten, sich mit sämtlichen Vorbringen von Asylsuchenden detailliert auseinanderzusetzen. Das Anhörungsprotokoll ist insofern nicht zu bemängeln, als der Beschwerdeführer dessen Vollständigkeit und Korrektheit unterschriftlich bestätigte, was gegen die vorgebrachte mangelhafte Sachverhaltsfeststellung spricht, auch wenn gewisse Nachfragen unter Umständen als sinnvoll erschienen wären. Dem Beschwerdeführer wurde jedoch auch zum Abschluss der Anhörung die Frage gestellt, ob er nun alles Wesentliche habe sagen können, was er bejahte. Ferner vermag die Würdigung dieser Sachverhaltselemente, das heisst die Feststellung der fehlenden Asylrelevanz, gemäss nachfolgenden Erwägungen ebenfalls keine Gehörsverletzung zu begründen. Von einem kassatorischen Entscheid ist mithin abzusehen.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eine Verfolgung durch die PYD respektive die YPG geltend. Diese habe sich im Rahmen seiner Tätigkeit als Taxifahrer ereignet. Probleme seitens der syrischen Machthaber bringen die Beschwerdeführenden nicht vor. Das SEM hat die Glaubhaftigkeit der Aussagen nicht näher geprüft und erachtet die vorgebrachten Fluchtgründe für nicht asylrelevant. Diese Einschätzung ist im Ergebnis zu teilen.</w:t>
      </w:r>
    </w:p>
    <w:p>
      <w:r>
        <w:rPr>
          <w:b/>
        </w:rPr>
        <w:t>E. 5.2</w:t>
      </w:r>
    </w:p>
    <w:p>
      <w:r>
        <w:t>Zu den Einflussmöglichkeiten und der Vorgehensweise der PYD kann vorab auf das Bundesverwaltungsgerichtsurteil D-5018/2015 vom 26. Oktober 2015 verwiesen werden (vgl. E. 5.3. f.). Es dürfte zutreffen, dass der Beschwerdeführer im Sinne seiner Darlegungen tatsächlich als Chauffeur arbeitete und dabei in Konflikt mit der PYD geriet. Gewisse Passagen seiner Schilderungen sind substanziiert und weisen Realkennzeichen auf, auch wenn es ihm offensichtlich schwer fiel, das Vorgefallene in zeitlicher Hinsicht genau einzuordnen (vgl. A 11/15 Antworten 19, 49 f. und 55). Im Zusammenhang mit dem dritten Vorfall gab er bei der Befragung an, er sei im Gerichtsgebäude durch die Vertreter der PYD beleidigt und in der Folge wieder freigelassen worden. Schläge oder gar Misshandlungen erwähnte er keine (vgl. A 3/16 S. 9). Anlässlich der Anhörung machte er zwar geltend, er sei geschlagen und gefoltert worden, unterlässt es jedoch, dies näher auszuführen oder zu substanziieren (vgl. A 11/15 Antwort 67). Dies auch auf ausdrückliche Nachfrage hin, ob noch Wesentliches zu sagen sei. Auch aus den Protokollen der Beschwerdeführerin ergeben sich nicht die geringsten Hinweise darauf, dass der Beschwerdeführer Folterspuren aufgewiesen habe. Vor diesem Hintergrund können die Ausführungen auf Beschwerdeebene, der Beschwerdeführer sei aus politischen Gründen ernsthaften Nachteilen, nämlich Folter und Todesdrohungen ausgesetzt gewesen, nicht geglaubt werden. Die auf Beschwerdeebene geschilderten massiven Foltererlebnisse erscheinen als nachgeschoben, aufgebauscht und insgesamt nicht glaubhaft, zumal es ihm auch nicht gelingt, ein politisches Profil aufzuzeigen, das das geltend gemachte Verfolgungsinteresse der PYD zu begründen vermöchte. So gab der Beschwerdeführer an, als Sympathisant von Masoud Barsani an friedlichen Demonstrationen teilgenommen zu haben. Ein eigentliches politisches Profil ergibt sich daraus entgegen den Beschwerdevorbringen aber noch nicht. Ferner kann den Akten in keiner Weise entnommen werden, dass er als Mitglied einer politisch aktiven Familie beziehungsweise wegen des Engagements von zwei Brüdern in der PDK-S reflexverfolgungsmässig behelligt worden wäre. Vielmehr gab er zu erkennen, dass er aus anderen Gründen in den Fokus der PYD geraten sei. So legte er dar, beim zweiten Vorfall seien etwa zehn Chauffeure angewiesen worden, für die PYD Bewaffnete zu transportieren. Auf die Frage, nach welchen Kriterien die Fahrer ausgewählt worden seien, gab er an, die PYD habe angenehme und saubere Wagen gewollt. Beim dritten Vorfall habe die PYD fünf Fahrer verlangt. Diese seien wiederum nicht aufgrund persönlicher Umstände ausgewählt worden (vgl. a.a.O. Antworten 17, 45 ff. und 57 f.). Vor diesem Hintergrund ist entgegen den Beschwerdevorbringen nicht erkennbar, dass der Beschwerdeführer aus politischen oder anderen, in Art. 3 AsylG aufgeführten Gründen zu Transporten von Bewaffneten genötigt wurde. Aufgrund seines bescheidenen politischen Profils ist denn auch nicht glaubhaft, dass die PYD derart heftig auf seinen Unwillen, ihren Forderungen zur Gratisarbeit nachzukommen, reagiert hätten, zumal der Beschwerdeführer ausführte, sämtliche Chauffeure hätten diese Transportaufträge nur sehr widerwillig ausgeführt. Es war offensichtlich auch ein Leichtes, die Chauffeure zu den entsprechenden Tätigkeiten zu zwingen, wie dies auch in dem eingereichten Unterstützungsschreiben ausgeführt wurde (Beilage 5). Dort wird erwähnt, dass eine Weigerung praktisch zu einem Berufsverbot geführt hätte. Insgesamt erscheint damit nicht glaubhaft, dass die PYD den Beschwerdeführer in der von ihm erwähnten Intensität verfolgt habe. Dabei fällt auch ins Gewicht, dass er sich nach dem dritten Vorfall noch zuhause aufhielt, wo ihn die PYD - hätte sie die Absicht gehabt, ernsthaft gegen ihn vorzugehen - seiner problemlos hätte habhaft werden können (vgl. a.a.O. Antworten 72 f.). Allein die von ihm verlangten unentgeltlichen Arbeitseinsätze vermögen keine Verfolgung im Sinne des Asylgesetzes zu begründen, selbst wenn eine entsprechende Verweigerung dazu geführt hätte, dass er nicht mehr als Taxifahrer hätte tätig sein können. In diesem Sinne hat das SEM zu Recht eine asylrelevante Verfolgung beziehungsweise eine entsprechende Verfolgungsintensität verneint. Die Beschwerdeführerin macht geltend, wegen des Krieges und der persönlichen Gefährdung ihres Mannes durch die genannte Organisation ausgereist zu sein. Diese persönliche Gefährdung vermag nach dem Gesagten aber keine Asylrelevanz zu entfalten. Vielmehr erscheinen ihre geäusserten Befürchtungen anlässlich der Anhörung kaum substanziiert und führen entsprechend zu keiner anderen Sichtweise. Die eingereichten Bestätigungsschreiben der Brüder und die beiden Aussagen von Auskunftspersonen rechtfertigen keine andere Beurteilung, zumal diese vor dem Hintergrund der bisherigen Erwägungen als Gefälligkeitsdokumente zu qualifizieren sind.</w:t>
      </w:r>
    </w:p>
    <w:p>
      <w:r>
        <w:rPr>
          <w:b/>
        </w:rPr>
        <w:t>E. 6</w:t>
      </w:r>
    </w:p>
    <w:p>
      <w:r>
        <w:t>Unter Berücksichtigung der gesamten Umstände folgt, dass die Be­schwerdeführenden keine Gründe nach Art. 3 AsylG nachweisen oder glaub­haft machen konnten. Die Beschwerdevorbringen rechtfertigen keine andere Einschätzung. Die Vorinstanz hat die Flüchtlingseigen­schaft zu Recht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 Für eine Prüfung der Unzulässigkeit des Vollzugs der Wegweisung besteht damit kein Rechtsschutzinteresse, weshalb auf den entsprechenden Antrag nicht weiter einzugehen ist.</w:t>
      </w:r>
    </w:p>
    <w:p>
      <w:r>
        <w:rPr>
          <w:b/>
        </w:rPr>
        <w:t>E. 7.3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damit genügend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geleistete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