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D-6447/2010 vom 11. Juli 2011</w:t>
      </w:r>
    </w:p>
    <w:p>
      <w:r>
        <w:t>Bundesverwaltungsgericht, 2011-07-11, DE</w:t>
      </w:r>
    </w:p>
    <w:p>
      <w:r>
        <w:rPr>
          <w:b/>
        </w:rPr>
        <w:t xml:space="preserve">Quelle: </w:t>
      </w:r>
      <w:r>
        <w:t>https://mcp.opencaselaw.ch/entscheid/bvger_D-6447_2010</w:t>
      </w:r>
    </w:p>
    <w:p>
      <w:r>
        <w:t>FR: TAF D-6447/2010 du 11 juillet 2011</w:t>
      </w:r>
    </w:p>
    <w:p>
      <w:r>
        <w:t>IT: TAF D-6447/2010 del 11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Das nach Erlass der angefochtenen Verfügung - aber noch vor Einreichung der Beschwerde - geborene Kind M._______ wird in das vorliegende Verfahren einbezogen.</w:t>
      </w:r>
    </w:p>
    <w:p>
      <w:r>
        <w:rPr>
          <w:b/>
        </w:rPr>
        <w:t>E. 2.1</w:t>
      </w:r>
    </w:p>
    <w:p>
      <w:r>
        <w:t>Vorab ist auf die Frage der Akteneinsicht und die damit in Zusammenhang stehenden Vorbringen betreffend die Gewährung des rechtlichen Gehörs einzugehen. Die Beschwerdeführer ersuchten in ihrer Rechtsmitteleingabe um Zustellung der vollständigen Akten. Mit Zwischenverfügung des Bundesverwaltungsgerichts vom 22. September 2010 wurde das BFM angewiesen, den Beschwerdeführern Einsicht in die entscheidwesentlichen Akten zu gewähren. Die Vorinstanz stellte den Beschwerdeführern einen Teil der Akten am 19. Oktober 2010 zu. Da die Beschwerdeführer in ihrer Stellungnahme vom 3. November 2010 geltend machten, in den zugestellten Akten befinde sich kein Botschaftsbericht, wurden ihnen mit Zwischenverfügung vom 7. Juni 2011 die Botschaftsanfrage (A17/4), die ihnen bereits bekannte, von der Vorinstanz angefertigte, vom 26. Juli 2010 datierende Zusammenfassung des Abklärungsergebnisses der Botschaft (A19/3) und die Stellungnahme der Beschwerdeführer vom 27. Juli 2010 (A20/1) in Kopie zugestellt. Gleichzeitig wurde ihnen die Möglichkeit zur Stellungnahme eingeräumt, wovon sie mit ihrer Eingabe vom 23. Juni 2011 Gebrauch machten. Die Einsicht in die erwähnten Akten wurde somit gewährt.</w:t>
      </w:r>
    </w:p>
    <w:p>
      <w:r>
        <w:rPr>
          <w:b/>
        </w:rPr>
        <w:t>E. 2.2</w:t>
      </w:r>
    </w:p>
    <w:p>
      <w:r>
        <w:t>Die Akte 21/7 stellt die vorinstanzliche Verfügung dar, in welche ebenfalls um Einsicht ersucht wurde. Da die Beschwerdeführer ihrer Rechtsmitteleingabe eine Kopie dieses Aktenstückes beilegten, erweist sich das diesbezügliche Gesuch als gegenstandslos.</w:t>
      </w:r>
    </w:p>
    <w:p>
      <w:r>
        <w:rPr>
          <w:b/>
        </w:rPr>
        <w:t>E. 2.3</w:t>
      </w:r>
    </w:p>
    <w:p>
      <w:r>
        <w:t>Die Einsicht in die Botschaftsantwort (Akte A18/2) wurde mit Zwischenverfügung vom 7. Juni 2011 unter Verweis auf das Geheimhaltungsinteresse in Bezug auf die Identität der Kontaktpersonen und Angaben über Art und Methoden der Informationsbeschaffung und gestützt auf Art. 27 Abs. 1 Bst. a und b VwVG verweigert. Die Beschwerdeführer wurden in Anwendung von Art. 28 VwVG darauf hingewiesen, der wesentliche Inhalt der Botschaftsabklärung sei in der ihnen zugestellten Akte A19/3 enthalten. In der Stellungnahme vom 23. Juni 2011 bringen die Beschwerdeführer vor, solange nicht bekannt gegeben werde, von welcher Person oder von welchen Personen die angeblichen Informationen stammen würden, seien die Angaben verfahrensrechtlich nicht verwertbar. An der Geheimhaltung bestehe kein wesentliches öffentliches Interesse. Eine Weiterverbreitung oder missbräuchliche Verwendung bestehe nicht und werde vom Gericht auch nicht bloss ansatzweise glaubhaft gemacht. Das Geheimhaltungsinteresse in Bezug auf die Identität von in- und ausländischen Informanten und Kontaktpersonen sowie auf Angaben zur Informationsbeschaffung ist gewichtig und geeignet, den Grundsatz des Rechts auf Akteneinsicht einzuschränken (vgl. Entscheidungen und Mitteilungen der Schweizerischen Asylrekurskommission [EMARK] 1994 Nr. 1 E. 4c S. 12), zumal bei einer Offenlegung der Identität Repressionen gegen Informanten wegen der Zusammenarbeit mit schweizerischen Behörden nicht auszuschliessen sind (vgl. EMARK 1996 Nr. 26 E. 2d)cc) S. 193). Diese Kriterien genügen bereits, um eine vollständige Einsicht in die Botschaftsabklärung zu verweigern, weshalb auf die Rüge, eine Weiterverbreitung oder missbräuchliche Verwendung sei vom Gericht nicht dargetan worden, nicht weiter einzugehen ist. Mit dem Vorbringen, das Bundesgericht sanktioniere eine Geheimjustiz nicht, verkennen die Beschwerdeführer, dass im Rahmen gesetzlicher Bestimmungen (siehe insbesondere Art. 27 und 28 VwVG) die Einsichtnahme in Akten verweigert werden darf. Dadurch, dass den Beschwerdeführern der wesentliche Inhalt der Botschaftsabklärung offengelegt wurde und sie sich dazu äussern konnten, wurde den genannten gesetzlichen Voraussetzungen Genüge getan. Die mittels Botschaftsabklärung gewonnenen Erkenntnisse können deshalb ohne Einschränkung verwendet werden. Eine Verletzung des rechtlichen Gehörs liegt deshalb nicht vor.</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ihres ablehnenden Asylentscheides im Wesentlichen fest, die Ausführungen der Beschwerdeführer seien widersprüchlich ausgefallen, so hinsichtlich der Anzahl Familienmitglieder, welche von den Albanern Schläge erhalten hätten, des Zeitpunkts in welchem die Tochter von einem Stein an der Stirn verletzt worden sei und des Zeitraumes, in welchem der Beschwerdeführer drei Mal vor der Ausreise in V._______ geschlagen worden sei. Die angeführten Kommunikationsprobleme des Beschwerdeführers vermöchten daran nichts zu ändern, da dieser während oder nach der Kurzbefragung keinerlei sprachlichen Probleme geltend gemacht habe. Aufgrund der aufgeführten Widersprüche müssten die - im Übrigen sehr pauschal und substanzlos dargelegten - Ausführungen der Beschwerdeführer als unglaubhaft erachtet werden. Auch hätten sie gemäss Botschaftsbericht bezüglich Sicherheit keine besonderen Probleme gehabt. Doch selbst bei Wahrunterstellung würde es sich bei den Vorbringen der Beschwerdeführer um Übergriffe durch private Drittpersonen handeln. Die zuständigen Behörden in Kosovo würden im Rahmen ihrer Möglichkeiten systematisch gegen Bedrohungen und Übergriffe Dritter vorgehen. Die neue kosovarische Verfassung gestehe den Minderheiten umfassende Rechte zu und bei Straftaten gegen Angehörige von Minderheiten würden Ermittlungen aufgenommen. Insofern könne bis zum heutigen Zeitpunkt faktisch von einem präventiven und konkreten Schutzwillen sowie einer weitgehenden Schutzfähigkeit der im Kosovo tätigen nationalen und internationalen Sicherheitsbehörden ausgegangen werden, weshalb Übergriffe Dritter keine asylbeachtliche Verfolgung im Sinne von Art. 3 AsylG darstellten und somit nicht asylrelevant seien.</w:t>
      </w:r>
    </w:p>
    <w:p>
      <w:r>
        <w:rPr>
          <w:b/>
        </w:rPr>
        <w:t>E. 4.2</w:t>
      </w:r>
    </w:p>
    <w:p>
      <w:r>
        <w:t>Demgegenüber wenden die Beschwerdeführer in ihren Eingaben auf Beschwerdeebene im Wesentlichen ein, den angeführten Unterschieden in den Aussagen zu der Behandlung durch albanische Eindringlinge sei entgegenzuhalten, dass darin keine Widersprüche zu erkennen seien. So würden Schikanen weiterhin Bedrohungen und Einschüchterungen bleiben, ob sie nun aus Schlägen oder aus Herumstossen bestehen würden. Die angeführten Asylgründe seien jedenfalls glaubhaft übereinstimmend und im Kern gleichlautend vorgebracht worden. Ob diese Bedrohungen und die Verletzung durch einen geworfenen Stein einen Tag früher oder später passiert seien, und sie sich an einzelne Tage oder Zeitabschnitte nicht mehr genau zu erinnern vermöchten oder sie nicht haargenau wiederzugeben imstande seien, ändere an der Flüchtlingseigenschaft nichts. Vielmehr würden gewisse Unschärfen in den Aussagen beweisen, dass sie sich nicht abgesprochen hätten. Im Übrigen scheine es der Befrager darauf angelegt zu haben, ihnen die Beantwortung der Fragen möglichst schwer zu machen, sie mit Einzelheiten aufs Glatteis zu führen und Widersprüche um jeden Preis zu entwickeln. Wenn man die Befragung der Beschwerdeführerin lese, erhalte man den Eindruck, es sei gar nicht darum gegangen, nach Asylgründen zu forschen, sondern eher ein Verhör über belanglose Einzelheiten durchzuführen. Demgegenüber würden die Einzelheiten in ihren übereinstimmenden Angaben überzeugen; ob sie diese Vorfälle zeitlich punktgenau einzuordnen vermöchten oder nicht, sei weder entscheidend noch wesentlich für die Gewährung des Asyls. Das Gleiche gelte für den Vorhalt über die angeblich divergierenden Zeitpunkte, an welchen der Beschwerdeführer geschlagen worden sei: Diese änderten nichts am Kern der Angaben. Die asylrelevante Verfolgung sei somit glaubhaft und nachvollziehbar dargelegt worden. Zudem würden die vier Befragungsprotokolle eindrücklich belegen, dass ihre Ausführungen - entgegen der vorinstanzlichen Ansicht - weder pauschal noch substanzlos seien. Weiter sei den Behörden die Situation der Roma in ihrer Herkunftsgegend bekannt. Es sei überdies bekannt und dürfe von den schweizerischen Asylbehörden auch nicht beschönigend oder anders dargestellt werden, dass die Übergriffe gegen die Roma nicht einfach Akte "privater Drittpersonen" darstellten. Die Schweizerische Flüchtlingshilfe (SFH), Amnesty International (AI) und Caritas würden übereinstimmend asylrelevante Verfolgungen in ihrer Herkunftsgegend bestätigen. Anderes sei in ihren Akten nicht ersichtlich; jedenfalls sei darin von einem sogenannten "Botschaftsbericht" - wie in der angefochtenen Verfügung angeführt - nichts zu finden. Ihre Angaben seien aber auch vor dem Hintergrund der in BVGE 2009/51 geschilderten Verhältnisse glaubhaft. So würden Roma in ihrer Herkunftsgegend als "Albaner zweiter Klasse" bezeichnet und müssten sich, wie auch Ashkali und Ägypter, in einem äusserst feindseligen Umfeld aufhalten. Sie hätten begründete Furcht vor weiteren, zukünftigen Verfolgungen, worunter auch nichtstaatliche Verfolgung in schutzunfähigen Staaten zu zählen sei. Sie stammten aus einem Gebiet, dessen Bewohner möglicherweise nach dem Buchstaben der Verfassung das Recht hätten, sich an zuständige Behörden zu wenden. In der Realität funktioniere der Staatsapparat in der vorgesehenen Weise jedoch nicht. Als Roma seien sie den Schikanen und Verfolgungen schutzlos ausgeliefert, da sich der Staat nicht um ihre Volksgruppe kümmere, sondern sich bloss passiv verhalte.</w:t>
      </w:r>
    </w:p>
    <w:p>
      <w:r>
        <w:rPr>
          <w:b/>
        </w:rPr>
        <w:t>E. 5.1</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 In EMARK 2001 Nr. 13 äusserte sich die ARK erstmals zur Frage der Flüchtlingseigenschaft und zur Gewährung von Asyl an Angehörige von ethnischen Minderheiten in Kosovo und führte dabei an, die Lage in Kosovo habe sich seit der Intervention der NATO im Jahre 1999 und dem Rückzug der serbischen Truppen aus Kosovo zum Positiven verändert, da unter anderem durch die 1999 eingesetzte KFOR der Schutz der ethnischen Minderheiten verbessert worden sei.</w:t>
      </w:r>
    </w:p>
    <w:p>
      <w:r>
        <w:rPr>
          <w:b/>
        </w:rPr>
        <w:t>E. 5.2</w:t>
      </w:r>
    </w:p>
    <w:p>
      <w:r>
        <w:t>Nach den Erkenntnissen des Bundesverwaltungsgerichts sind in Kosovo die bisher zuständigen Behörden - im Rahmen ihrer Möglichkeiten - gegen Bedrohungen und Übergriffe Dritter vorgegangen. Insoweit kann zum heutigen Zeitpunkt vom Schutzwillen und auch von einer weitgehenden Schutzfähigkeit der in Kosovo tätigen nationalen und internationalen Sicherheitsbehörden, namentlich der UNMIK, des KPS und der KFOR, ausgegangen werden. Diesbezüglich kann auf die Lagebeurteilung verwiesen werden, welche die ARK in EMARK 2006 Nr. 10 E. 5.4 zur allgemeinen Situation der Minderheiten in Kosovo vorgenommen hat und welche sich auch heute noch als zutreffend erweist (vgl. BVGE 2007/10).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w:t>
      </w:r>
    </w:p>
    <w:p>
      <w:r>
        <w:rPr>
          <w:b/>
        </w:rPr>
        <w:t>E. 5.3</w:t>
      </w:r>
    </w:p>
    <w:p>
      <w:r>
        <w:t>In casu hat das BFM im angefochtenen Entscheid zu Recht festgestellt, dass der kosovarische Staat grundsätzlich schutzwillig und schutzfähig ist, weshalb die von den Beschwerdeführern vorgebrachten Übergriffe Dritter - deren Wahrheitsgehalt vorausgesetzt - nicht asylrelevant sind. Im Übrigen hat der Bundesrat mit Bundesratsbeschluss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 Die Vorbringen in der Rechtsmitteleingabe vom 9. September 2010 und deren Ergänzungen vom 3. November 2010 und 23. Juni 2011 sind nicht geeignet, eine Änderung der vorinstanzlichen Verfügung zu bewirken. Lediglich der pauschale Hinweis auf die in ihrer Herkunftsregion registrierte asylrelevante Verfolgung durch die SFH, AI und Caritas vermag die obigen Feststellungen nicht in einem anderen Licht erscheinen zu lassen. Insbesondere kann vorliegend festgehalten werden, dass die Abklärungen der Schweizer Vertretung in V._______ hinsichtlich der Beschwerdeführer ergaben, dass es bezüglich ihrer eigenen Sicherheitslage in Kosovo zu keinen speziellen Ereignissen gekommen sei (vgl. act. A19/3). Weiter wäre es den Beschwerdeführern zumutbar und auch möglich gewesen, sich angesichts der vorgebrachten Übergriffe, die - falls tatsächlich so ge­schehen - als nicht unerheblich einzustufen wären, bei den zuständigen Behörden um Schutz zu ersuchen. Es kann davon ausgegangen werden, dass sich die Polizei der Angelegenheit angenommen und entsprechende Ermittlungen gegen die fehlbaren Personen eingeleitet hätte. Allenfalls hätten sich die Beschwerdeführer im Falle eines polizeilichen Untätigbleibens mit Hilfe eines Anwalts an die vorgesetzte Stelle wenden können, um ihre Rechte durchzusetzen. Überdies ist logisch nicht nachvollziehbar, dass Albaner angeblich seit Jahren nur die Familie der Beschwerdeführer bedrängt haben sollen, nicht aber auch die nach wie vor in der Herkunftsregion des Beschwerdeführers wohnhaften nahen Verwandten desselben (Mutter, Grosseltern, einige Geschwister). Die Vorbringen der Beschwerdeführer sind daher insgesamt nicht asylrelevant, weshalb vorliegend darauf verzichtet werden kann, dieselben unter dem Blickwinkel der Glaubhaftigkeit einer Prüfung zu unterziehen.</w:t>
      </w:r>
    </w:p>
    <w:p>
      <w:r>
        <w:rPr>
          <w:b/>
        </w:rPr>
        <w:t>E. 5.4</w:t>
      </w:r>
    </w:p>
    <w:p>
      <w:r>
        <w:t>Zusammenfassend ergibt sich, dass die Vorbringen der Beschwerdeführer den Anforderungen an die Asylrelevanz nicht standhalten. Die Beschwerdeführer erlitten bis zum Zeitpunkt ihrer Ausreise aus Kosovo keine asylrechtlich relevante Verfolgung und müssen mit überwiegender Wahrscheinlichkeit eine solche in Zukunft auch nicht in begründeter Weise befürchten. Es kann deshalb darauf verzichtet werden, auf weitere Ausführungen in der Beschwerdeschrift und allfällige Unglaubhaftig­keits­elemente in den Vorbringen der Beschwerdeführer einzugehen, da sie an obiger Erkenntnis nichts zu ändern vermögen. An dieser Einschätzung vermögen ebenso wenig die eingereichten Ausweise der X._______ sowie das Bestätigungsschreiben eines Roma-Repräsentanten etwas zu ändern, da vorliegend die ethnische Zugehörigkeit der Beschwerdeführer zu den Roma nicht bestritten ist. Die Asylgesuche wurden vom Bundesamt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Kosovo ist demnach unter dem Aspekt von Art. 5 AsylG rechtmässig.</w:t>
      </w:r>
    </w:p>
    <w:p>
      <w:r>
        <w:rPr>
          <w:b/>
        </w:rPr>
        <w:t>E. 7.2.3</w:t>
      </w:r>
    </w:p>
    <w:p>
      <w:r>
        <w:t>Sodann ergeben sich weder aus den Aussagen der Beschwerdeführer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Kosovo lässt den Wegweisungsvollzug zum heutigen Zeitpunkt klarerweise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Auf Beschwerdeebene führen die Beschwerdeführer im Wesentlichen an, dass die ethnischen Roma in Kosovo in einem feindseligen Umfeld leben würden, das von hoher Arbeitslosigkeit und dem allgemeinen Zusammenbruch der Sicherungssysteme geprägt sei.</w:t>
      </w:r>
    </w:p>
    <w:p>
      <w:r>
        <w:rPr>
          <w:b/>
        </w:rPr>
        <w:t>E. 7.3.2</w:t>
      </w:r>
    </w:p>
    <w:p>
      <w:r>
        <w:t>Am 17. Februar 2008 erklärte Kosovo die Unabhängigkeit von Serbien. Auch nach der Unabhängigkeitserklärung Kosovos ist die internationale zivile und militärische Präsenz weiterhin vorgesehen. Die UNO-Verwaltung (UNMIK) soll sukzessive von der EU-Mission (EULEX) abgelöst werden. Internationale Sicherheitskräfte sowie der KPS garantieren die Sicherheit. Es kann durchaus davon gesprochen werden, dass sich die Sicherheitslage in Kosovo in den vergangenen Jahren verbessert oder zumindest stabilisiert hat.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in Kosovo) als gegeben erachtet werden können (vgl. dazu letztmals BVGE 2007/10, mit weiteren Hinweisen). Vorliegend ergab eine Einzelfallabklärung, dass die jungen und gesunden Beschwerdeführer - entgegen ihren Aussagen in der Kurzbefragung und der Anhörung - in ihrer Herkunftsregion über zahlreiche enge Familienangehörige verfügen, mit denen sie in Kontakt stehen und die dort Immobilien besitzen. Zudem sind die Beschwerdeführer wie die Bevölkerungsmehrheit in Kosovo muslimischen Glaubens und haben Kenntnisse der albanischen Sprache (vgl. act. A1/12, S. 2; A2/11, S. 2). Des Weiteren verfügen sie gemäss Abklärungsergebnis über etliche Verwandte in verschiedenen Ländern in Europa, die ihre Familie gegebenenfalls finanziell unterstützen können. Es ist daher nicht zu befürchten, dass die Beschwerdeführer bei ihrer Rückkehr nach Kosovo in eine konkrete, ihre Existenz bedrohende Lage geraten könnten. Das Bundesverwaltungsgericht verkennt nicht, dass die Lebensbedingungen in Kosovo schwierig und mit dem allgemein in der Schweiz üblichen Lebensstandard nicht zu vergleichen sind. Der Mangel an Heizmaterial, ausreichendem Wohnraum, Bekleidung und anderem trifft jedoch die gesamte Bevölkerung ungeachtet ihrer Ethnie und ist charakteristisch für die im Heimatland des Beschwerdeführers herrschende Nachkriegssituation. Schwierige Lebensumstände für sich alleine vermögen jedoch gemäss konstanter Schweizer Praxis nicht gegen die Zumutbarkeit des Wegweisungsvollzuges zu sprechen.</w:t>
      </w:r>
    </w:p>
    <w:p>
      <w:r>
        <w:rPr>
          <w:b/>
        </w:rPr>
        <w:t>E. 7.3.3</w:t>
      </w:r>
    </w:p>
    <w:p>
      <w:r>
        <w:t>Nach dem Gesagten erweist sich der Vollzug der Wegweisung auch als zumutbar.</w:t>
      </w:r>
    </w:p>
    <w:p>
      <w:r>
        <w:rPr>
          <w:b/>
        </w:rPr>
        <w:t>E. 7.4</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Beschwerdeführer ersuchen um die Gewährung der unentgeltlichen Prozessführung im Sinne von Art. 65 Abs. 1 VwVG. Danach kann die Beschwerdeinstanz eine bedürftige Partei, deren Begehren nicht aussichtslos erscheinen, auf Gesuch davon befreien, Verfahrenskosten zu bezahlen. In casu ist von der Bedürftigkeit der Beschwerdeführer auszugehen. Auch können die Begehren der Beschwerde nicht als aussichtslos bezeichnet werden. Das Gesuch um Gewährung der unentgeltlichen Prozessführung ist somit gutzuheissen, weshalb keine Verfahrenskosten aufzuerlegen sind.</w:t>
      </w:r>
    </w:p>
    <w:p>
      <w:r>
        <w:rPr>
          <w:b/>
        </w:rPr>
        <w:t>E. 9.2</w:t>
      </w:r>
    </w:p>
    <w:p>
      <w:r>
        <w:t>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