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D-6446/2011 vom 5. Januar 2012</w:t>
      </w:r>
    </w:p>
    <w:p>
      <w:r>
        <w:t>Bundesverwaltungsgericht, 2012-01-05, DE</w:t>
      </w:r>
    </w:p>
    <w:p>
      <w:r>
        <w:rPr>
          <w:b/>
        </w:rPr>
        <w:t xml:space="preserve">Quelle: </w:t>
      </w:r>
      <w:r>
        <w:t>https://mcp.opencaselaw.ch/entscheid/bvger_D-6446_2011</w:t>
      </w:r>
    </w:p>
    <w:p>
      <w:r>
        <w:t>FR: TAF D-6446/2011 du 5 janvier 2012</w:t>
      </w:r>
    </w:p>
    <w:p>
      <w:r>
        <w:t>IT: TAF D-6446/2011 del 5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angefochtenen Verfügungen besonders berührt und hat ein schutzwürdiges Interesse an deren Aufhebung beziehungsweise Änderung, weshalb er zur Einreichung der Beschwerden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der Beschwerdeführer den Wortlaut sämtlicher Protokolle mit seiner Unterschrift bestätigt hat und sich deshalb seine Aussagen grundsätzlich entgegenhalten lassen muss, zumal er die übersetzenden Personen bei beiden Befragungen gut verstanden haben will (vgl. Akten BFM A 3/8 S. 6, A 8/14 S. 1). Das (sinngemässe) Vorbringen in der Rechtsmittelschrift, wonach der Beschwerdeführer unter psychischen Problemen leide, weshalb seine Aussagen, welche nach Auffassung des BFM als unglaubhaft erscheinen würden, "nicht notwendigerweise als das zu verstehen" seien, ist leidglich als Schutzbehauptung zu werten, um die widersprüchlichen und unplausiblen Aussagen zu rechtfertigen, zumal den Akten keine Hinweise zu entnehmen sind, der Beschwerdeführer sei psychisch nicht in der Lage gewesen, seine Asylgründe vorzutragen.</w:t>
      </w:r>
    </w:p>
    <w:p>
      <w:r>
        <w:rPr>
          <w:b/>
        </w:rPr>
        <w:t>E. 5.2</w:t>
      </w:r>
    </w:p>
    <w:p>
      <w:r>
        <w:t>Nach Prüfung der Akten durch das Gericht ist - in Übereinstimmung mit der Vorinstanz - festzustellen, dass die Asylvorbringen des Beschwerdeführers den Anforderungen an die Glaubhaftigkeit gemäss Art. 7 AsylG nicht standzuhalten vermögen. Beispielsweise sagte er bei der Kurzbefragung aus, seine letzte Festnahme sei am 15. April 2011 erfolgt (A 3/8 S. 5), während er anlässlich der Anhörung zu Protokoll gab, er sei zuletzt am 3. Mai 2011 festgenommen worden (A 8/14 S. 4, 10). Auf Vorhalt machte er lediglich geltend, er wisse nicht, wieso er bei der Kurzbefragung gesagt habe, er sei am 15. April 2011 zuletzt festgenommen worden (A 8/14 S. 12). In Berücksichtigung des Umstandes, dass die letzte Festnahme kurz vor der Ausreise stattgefunden haben soll, ist zu erwarten, dass der Beschwerdeführer das einschneidende Erlebnis widerspruchsfrei zu datieren vermag. Im Weiteren machte der Beschwerdeführer anlässlich der Anhörung zuerst geltend, er sei seit seinem achtzehnten Lebensjahr Mitglied in verschiedenen Parteien gewesen (A 8/14 S. 8), während er kurz darauf erklärte, er sei weder bei der HADEP (Halkin Demokrati Partisi/Partei der Demokratie des Volkes) noch bei der DTP (Demokratik Toplum Partisi/Partei für eine demokratische Gesellschaft) Mitglied gewesen, er sei erst im Jahre 2008 bei der BDP Mitglied geworden (A 8/14 S. 8 f.). Gegen das vom Beschwerdeführer vorgebrachte politische Engagement und damit für die Unglaubhaftigkeit der geltend gemachten Verfolgungsvorbringen spricht auch der Umstand, dass der Beschwerdeführer anlässlich der Anhörung tatsachenwidrig zu Protokoll gab, die direkte Nachfolgepartei der aufgelösten HADEP sei die DTP gewesen (A 8/14 S. 8). Hätte sich der Beschwerdeführer tatsächlich im geltend gemachten Ausmass politisch engagiert, hätte er bei der Anhörung mit Sicherheit anzugeben vermocht, aus welcher Bewegung die DTP hervorging. Weiter ist festzustellen, dass der Beschwerdeführer im Laufe des Asylverfahrens wesentliche Vorbringen unbegründet nachgeschoben hat. So machte er erst anlässlich der Anhörung geltend, er habe sich fünfzehn Tage nach seiner letzten Festnahme im Frühling 2011 mit zwei Polizisten in einem Kaffeehaus getroffen, wo man ihm einen Codenamen und eine Telefonnummer gegeben sowie ihn erneut zur Spitzeltätigkeit aufgefordert habe (A 8/14 S. 6 f.). Es ist nicht nachvollziehbar, weshalb der Beschwerdeführer dieses wesentliche Sachverhaltselement nicht schon bei der Kurzbefragung zumindest ansatzweise erwähnte, zumal er bei der Anhörung zu Protokoll gab, nach diesem Treffen habe er kein Vertrauen mehr in die Leute gehabt, von da an habe er Angst gehabt (A 8/14 S. 7). Zweifel an der vom Beschwerdeführer vorgebrachten Verfolgungssituation begründet auch der Umstand, dass der Beschwerdeführer anlässlich der Anhörung nicht in der Lage war, die konkrete Bezeichnung der Antiterroreinheit anzugeben, welche ihn viele Male festgenommen haben soll (A 3/8 S. 5, A 8/14 S. 4). Wäre es tatsächlich zu den behaupteten Festnahmen gekommen, hätte der Beschwerdeführer in der Lage sein müssen, den richtigen Namen dieser Antiterroreinheit zu nennen. Unglaubhaft sind ausserdem die Aussagen des Beschwerdeführers zum Verbleib seines Reisepasses, zumal er bei der Anhörung einerseits behauptete, er habe sich den Pass für seine Ausreise aus der Türkei ausstellen lassen, er aber andererseits kurz darauf vorbrachte, er sei ohne den Pass und ohne den Schlepper, dem er den Pass übergeben habe, ausgereist (A 8/14, S. 2 f.). Der Einwand in der Beschwerde, wonach den Schilderungen des Beschwerdeführers hinsichtlich des Verbleibes seines Reisepasses nichts Aussergewöhnliches oder Unglaubhaftes anhafte, überzeugt das Gericht nicht. Aufgrund des soeben ausgeführten ist davon auszugehen, es handle sich bei den Verfolgungsvorbringen des Beschwerdeführers um ein Sachverhaltskonstrukt, weshalb auch nicht geglaubt werden kann, dass er bei einer Rückkehr in die Türkei von den türkischen Behörden verfolgt würde, wie das von ihm geltend gemacht wird. Bei dieser Sachlage erübrigt es sich, auf weitere Unglaubhaftigkeitselemente in den Vorbringen des Beschwerdeführers einzugehen. Da die vom Beschwerdeführer zur Begründung seines Asylgesuchs geltend gemachten Verfolgungsvorbringen den umschriebenen Anforderungen an die Glaubhaftigkeit nicht genügen, kann darauf verzichtet werden, die Asylrelevanz dieser Vorbringen zu prüfen.</w:t>
      </w:r>
    </w:p>
    <w:p>
      <w:r>
        <w:rPr>
          <w:b/>
        </w:rPr>
        <w:t>E. 5.3</w:t>
      </w:r>
    </w:p>
    <w:p>
      <w:r>
        <w:t>Zusammenfassend ist festzustellen, dass es dem Beschwerdeführer nicht gelungen ist, nachzuweisen oder zumindest glaubhaft zu machen, dass er in der Heimat ernsthafte Nachteile erlitten hat oder solche bei der Ausreise zu befürchten hatte beziehungsweise im Fall der Rückkehr in die Türkei befürchten müsste. Auf die weiteren Ausführungen und Einwände in der Beschwerde ist nicht einzugehen, da sie am Ergebnis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Vorab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w:t>
      </w:r>
    </w:p>
    <w:p>
      <w:r>
        <w:rPr>
          <w:b/>
        </w:rPr>
        <w:t>E. 7.3.3</w:t>
      </w:r>
    </w:p>
    <w:p>
      <w:r>
        <w:t>Auch aufgrund der persönlichen Situation des Beschwerdeführers sind keine Gründe ersichtlich, die gegen die Zumutbarkeit des Wegweisungsvollzugs sprechen. Der - soweit den Akten zu entnehmen ist - gesunde Beschwerdeführer verfügt über jahrelange Berufserfahrung als (...), weshalb anzunehmen ist, er könne sich in seiner Heimat wieder wirtschaftlich integrieren. Gemäss seinen Angaben leben überdies seine Eltern sowie drei seiner Geschwister nach wie vor in E._______. Vor diesem Hintergrund ist davon auszugehen, dass der Beschwerdeführer in seiner Heimat über ein soziales Beziehungsnetz verfügt. Blosse soziale und wirtschaftliche Schwierigkeiten, von denen die ansässige Bevölkerung im Allgemeinen betroffen ist, genügen nicht, um eine konkrete Gefährdung im Sinne von Art. 83 Abs. 4 AuG darzustellen (vgl. BVGE 2008/34 E. 11.2.2).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Folglich fällt eine Anordnung der vorläufigen Aufnahme ausser Betracht (Art. 83 Abs. 1-4 AuG).</w:t>
      </w:r>
    </w:p>
    <w:p>
      <w:r>
        <w:rPr>
          <w:b/>
        </w:rPr>
        <w:t>E. 9</w:t>
      </w:r>
    </w:p>
    <w:p>
      <w:r>
        <w:t>Aus diesen Erwägungen ergibt sich, dass die angefochtenen Verfügungen Bundesrecht nicht verletzen, den rechtserheblichen Sachverhalt richtig und vollständig feststellt und angemessen sind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8. Dezember 2011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