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D-6446/2010 vom 7. Dezember 2010</w:t>
      </w:r>
    </w:p>
    <w:p>
      <w:r>
        <w:t>Bundesverwaltungsgericht, 2010-12-07, DE</w:t>
      </w:r>
    </w:p>
    <w:p>
      <w:r>
        <w:rPr>
          <w:b/>
        </w:rPr>
        <w:t xml:space="preserve">Quelle: </w:t>
      </w:r>
      <w:r>
        <w:t>https://mcp.opencaselaw.ch/entscheid/bvger_D-6446_2010</w:t>
      </w:r>
    </w:p>
    <w:p>
      <w:r>
        <w:t>FR: TAF D-6446/2010 du 7 décembre 2010</w:t>
      </w:r>
    </w:p>
    <w:p>
      <w:r>
        <w:t>IT: TAF D-6446/2010 del 7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Amtssprachen des Bundes sind das Deutsche, Französische und Italienische (vgl. Art. 70 Abs. 1 der Bundesverfassung der Schweizerischen Eidgenossenschaft vom 18. April 1999 [BV, SR 101]). Die Beschwerde ist nicht in einer Amtssprache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Die Beschwerde ist frist- und - mit Ausnahme des genannten sprachlichen Mangels -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 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wurden die Beschwerdeführenden von der schweizerischen Vertretung in F._______ zu ihrem Asylgesuch vom 23. Oktober 2008 nicht befragt, da die Botschaft dazu gemäss Überweisungsschreiben vom 31. Juli 2009 aus gerichtsnotorischen und mithin nachvollziehbaren Kapazitätsgründen nicht in der Lage war; den Beschwerdeführenden wurde indessen mit Zwischenverfügung des BFM vom 21. April 2010 Gelegenheit zur weiteren Konkretisierung ihrer Asylgründe sowie das rechtliche Gehör im Hinblick auf die vom Bundesamt in Erwägung gezogene Abweisung des Asylgesuches gewährt; die Beschwerdeführenden haben mit Eingabe vom 28. Mai 2010 von dieser Möglichkeit Gebrauch gemacht. Aufgrund der einlässlichen Ausführungen der Beschwerdeführenden in ihrem schriftlichen Asylgesuch und den weiteren Eingaben sowie der zahlreichen von ihnen eingereichten Beweismittel erscheint sodann der entscheidwesentliche Sachverhalt - wie das BFM in der angefochtenen Verfügung zu Recht ausführt - als genüglich abgeklärt. Schliesslich hat das BFM in seiner Zwischenverfügung vom 21. April 2010 sowie der angefochtenen Verfügung vom 15. Juli 2010 das Absehen von persönlichen Anhörungen einlässlich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demnach keine Anhaltspunkte, die darauf schliessen liessen, es sei den Beschwerdeführenden praktisch unmöglich oder objektiv unzumutbar, sich in einen anderen Staat, insbesondere einen der Nachbarstaaten Kolumbiens, zu begeben (vgl. EMARK 2004 Nr. 20; 1997 Nr. 15 E. 2f S. 132). Dies gilt umso mehr, als aus den Akten ersichtlich ist, dass es sich bei den Beschwerdeführenden nicht um landesweit bekannte Persönlichkeiten handelt, die aufgrund ihrer besonders exponierten Stellung auch bei einer Flucht ins nahe Ausland allenfalls befürchten müssten, weiterhin verfolgt zu werden.</w:t>
      </w:r>
    </w:p>
    <w:p>
      <w:r>
        <w:rPr>
          <w:b/>
        </w:rPr>
        <w:t>E. 6.2</w:t>
      </w:r>
    </w:p>
    <w:p>
      <w:r>
        <w:t>Bei dieser Sachlage kann letztlich offen bleiben, ob sich die Beschwerdeführenden den geltend gemachten Bedrohungen seitens der FARC allenfalls durch eine innerstaatliche Wohnsitzverlegung dauerhaft entziehen könnten.</w:t>
      </w:r>
    </w:p>
    <w:p>
      <w:r>
        <w:rPr>
          <w:b/>
        </w:rPr>
        <w:t>E. 6.3</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den Beschwerdeführenden zu Recht die Erteilung der Einreisebewilligung verweigert und die Asylgesuche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an sich den Beschwerdeführenden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