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D-6445/2010 vom 17. September 2010</w:t>
      </w:r>
    </w:p>
    <w:p>
      <w:r>
        <w:t>Bundesverwaltungsgericht, 2010-09-17, DE</w:t>
      </w:r>
    </w:p>
    <w:p>
      <w:r>
        <w:rPr>
          <w:b/>
        </w:rPr>
        <w:t xml:space="preserve">Quelle: </w:t>
      </w:r>
      <w:r>
        <w:t>https://mcp.opencaselaw.ch/entscheid/bvger_D-6445_2010</w:t>
      </w:r>
    </w:p>
    <w:p>
      <w:r>
        <w:t>FR: TAF D-6445/2010 du 17 septembre 2010</w:t>
      </w:r>
    </w:p>
    <w:p>
      <w:r>
        <w:t>IT: TAF D-6445/2010 del 17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 Das Verfahren richtet sich nach dem VwVG, dem VGG und dem BGG, soweit das AsylG nichts anderes bestimmt (Art. 37 VGG und Art. 6 AsylG).</w:t>
      </w:r>
    </w:p>
    <w:p>
      <w:r>
        <w:rPr>
          <w:b/>
        </w:rPr>
        <w:t>E. 1.2</w:t>
      </w:r>
    </w:p>
    <w:p>
      <w:r>
        <w:t>Amtssprachen des Bundes sind das Deutsche, Französische und Italienische (Art. 70 Abs. 1 der Bundesverfassung der Schweizerischen Eidgenossenschaft vom 18. April 1999 [BV, SR 101]). Die Beschwerde ist nicht in einer Amtssprache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1.3</w:t>
      </w:r>
    </w:p>
    <w:p>
      <w:r>
        <w:t>Die Beschwerde ist nicht eigenhändig unterzeichnet. Indes enthält sie neben dem maschinengeschriebenen Haupttext, welcher mit dem Namen, der Nummer der Identitätskarte und der Telefonnummer des Beschwerdeführers - beide aus dem erstinstanzlichen Verfahren bekannt - schliesst, zwei handschriftliche Ergänzungen, mit welchen unter anderem die postalische und die elektronischen Adressen des Beschwerdeführers mitgeteilt werden. Unter diesen Umständen ist die Eingabe unzweifelhaft dem Beschwerdeführer zuzuordnen.</w:t>
      </w:r>
    </w:p>
    <w:p>
      <w:r>
        <w:rPr>
          <w:b/>
        </w:rPr>
        <w:t>E. 1.4</w:t>
      </w:r>
    </w:p>
    <w:p>
      <w:r>
        <w:t>Die angefochtene Verfügung wurde gemäss der der Beschwerde beigelegten elektronischen Sendungsverfolgung am 24. August 2010 eröffnet. Die Beschwerde traf gemäss Schreiben vom 31. August 2010 und Eingangsstempel der Schweizer Botschaft am 30. August 2010 bei dieser ein und ist mithin rechtzeitig erfolgt.</w:t>
      </w:r>
    </w:p>
    <w:p>
      <w:r>
        <w:rPr>
          <w:b/>
        </w:rPr>
        <w:t>E. 1.5</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 abgesehen von den unter E. 1.2 und 1.3 festgestellten Mängeln - frist- und formgerecht eingereichte Beschwerde ist somit einzutreten.</w:t>
      </w:r>
    </w:p>
    <w:p>
      <w:r>
        <w:rPr>
          <w:b/>
        </w:rPr>
        <w:t>E. 1.6</w:t>
      </w:r>
    </w:p>
    <w:p>
      <w:r>
        <w:t>Zwar läuft die Rechtsmittelfrist noch bis zum 23. September 2010, jedoch kann das Urteil vor Ablauf derselben ergehen, da die vorliegende Beschwerde aufgrund der Aktenlage als abschliessend zu verstehen und der Sachverhalt vollständig festgestellt ist (vgl. Entscheidungen und Mitteilungen der Schweizerischen Asylrekurskommission [EMARK] 1997 Nr. 13 E. 1 S. 95 ff.).</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w:t>
      </w:r>
    </w:p>
    <w:p>
      <w:r>
        <w:t>Im vorliegenden Fall wurde der Beschwerdeführer von der schweizerischen Vertretung in Bogotá zu seinem am 9. Januar 2009 eingegangenen Asylgesuch nicht befragt, da die Botschaft dazu gemäss Überweisungsschreiben vom 12. März 2009 aus Kapazitätsgründen nicht in der Lage war; der Beschwerdeführer wurde indes mittels Schreiben vom 9. Februar 2009 zur weiteren Konkretisierung seiner Asylgründe aufgefordert. Die in diesem Schreiben enthaltenen Fragestellungen decken sämtliche für die Beurteilung des Asylgesuches aus dem Ausland notwendigen Aspekte ab (vgl. dazu nachfolgende E. 5.2), namentlich die genauen Personalien der asylsuchenden Person, deren verwandtschaftliche Beziehungen ausserhalb des Heimatstaates, die Asylvorbringen, die unternommenen Massnahmen zur Schutzsuche, die Möglichkeit einer innerstaatlichen Fluchtalternative sowie die Möglichkeit der Schutzsuche in anderen latein- und südamerikanischen Staaten. Der Beschwerdeführer hat die ihm gestellten Fragen mit Eingabe vom 16. Februar 2009 (Eingangsstempel) ausführlich beantwortet und seine Angaben aufforderungsgemäss mit entsprechenden Beweismitteln unterlegt. Bei dieser Sachlage ist festzuhalten, dass im erstinstanzlichen Verfahren dem Anspruch des Beschwerdeführers auf Gewährung des rechtlichen Gehörs grundsätzlich Rechnung getragen und der entscheidwesentliche Sachverhalt in genüglicher Weise und umfassend abgeklärt wurde, zumal der Beschwerdeführer seine Asylgründe bereits im Rahmen seine schriftlichen Asylgesuchs vom 9. Januar 2009 ausführlich dargelegt hatte. Die Vorinstanz hat schliesslich in der angefochtenen Verfügung zur Begründung des Verzichts auf eine persönliche Anhörung auf ihr entsprechendes Schreiben vom 10. Mai 2010 an den Beschwerdeführer verwiesen. Damit ist sie ihrer diesbezüglichen Begründungspflicht nachgekommen.</w:t>
      </w:r>
    </w:p>
    <w:p>
      <w:r>
        <w:rPr>
          <w:b/>
        </w:rPr>
        <w:t>E. 5.1</w:t>
      </w:r>
    </w:p>
    <w:p>
      <w:r>
        <w:t>Das BFM kann ein im Ausland gestelltes Asylgesuch ablehnen, wenn die asylsuchenden Personen keine Verfolgung glaubhaft machen können oder ihnen die Aufnahme in einem Drittstaat zugemutet werden kann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der Beschwerdeführer habe in seinem Gesuch keine besonders nahen Beziehungen zur Schweiz geltend gemacht. Gemäss der am 16. Februar 2009 erfolgten Beantwortung des Fragebogens der Schweizer Botschaft durch den Beschwerdeführer verfügt dieser in der Schweiz weder über Verwandte noch Bekannte. Im Weiteren hat das Bundesamt zu Recht erwogen, dass es dem Beschwerdeführer zuzumuten sei, in einem anderen Land um Asylgewährung nachzusuchen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dem Beschwerdeführer praktisch unmöglich oder objektiv unzumutbar, sich in einen anderen Staat, insbesondere einen der Nachbarstaaten Kolumbiens, zu begeben (vgl. EMARK 2004 Nr. 20 sowie 1997 Nr. 15, Erw. 2f, S. 132). Dies gilt umso mehr, als aus den Akten ersichtlich ist, dass es sich beim Beschwerdeführer nicht um eine landesweit bekannte Persönlichkeit handelt, die aufgrund ihrer besonders exponierten Stellung auch bei einer Flucht ins nahe Ausland allenfalls befürchten müsste, weiterhin verfolgt zu werden. Schliesslich wird auch in der Beschwerde vom 26. August 2010 eingeräumt, dass dem Beschwerdeführer ein Wegzug in ein anderes südamerikanisches Land grundsätzlich möglich wäre. Daran vermag der gleichzeitig erhobene Einwand betreffend allfällige Schwierigkeiten auf dem Arbeitsmarkt nichts zu ändern, zumal solche für den Beschwerdeführer - nicht zuletzt mangels entsprechender Sprachkenntnisse - auch in der Schweiz nicht auszuschliessen wären.</w:t>
      </w:r>
    </w:p>
    <w:p>
      <w:r>
        <w:rPr>
          <w:b/>
        </w:rPr>
        <w:t>E. 6.2</w:t>
      </w:r>
    </w:p>
    <w:p>
      <w:r>
        <w:t>Bei dieser Sachlage kann letztlich offen bleiben, ob sich der Beschwerdeführer den Bedrohungen durch die FARC allenfalls durch eine innerstaatliche Wohnsitzverlegung entziehen könnte.</w:t>
      </w:r>
    </w:p>
    <w:p>
      <w:r>
        <w:rPr>
          <w:b/>
        </w:rPr>
        <w:t>E. 6.3</w:t>
      </w:r>
    </w:p>
    <w:p>
      <w:r>
        <w:t>Nach dem Gesagten ist zusammenfassend festzuhalten, dass der Beschwerdeführer aufgrund der Akten über keine Beziehungsnähe zur Schweiz verfügt, hingegen die Möglichkeit der anderweitigen Schutzsuche hat. Unter diesen Umständen hat die Vorinstanz dem Beschwerdeführer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