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D-6445/2007 vom 12. November 2010</w:t>
      </w:r>
    </w:p>
    <w:p>
      <w:r>
        <w:t>Bundesverwaltungsgericht, 2010-11-12, DE</w:t>
      </w:r>
    </w:p>
    <w:p>
      <w:r>
        <w:rPr>
          <w:b/>
        </w:rPr>
        <w:t xml:space="preserve">Quelle: </w:t>
      </w:r>
      <w:r>
        <w:t>https://mcp.opencaselaw.ch/entscheid/bvger_D-6445_2007</w:t>
      </w:r>
    </w:p>
    <w:p>
      <w:r>
        <w:t>FR: TAF D-6445/2007 du 12 novembre 2010</w:t>
      </w:r>
    </w:p>
    <w:p>
      <w:r>
        <w:t>IT: TAF D-6445/2007 del 12 novembre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 Nach Lehre und Praxis können Wiedererwägungsentscheide grundsätzlich wie die ursprüngliche Verfügung auf dem ordentlichen Rechtsmittelweg weitergezogen werden. Demzufolge ist das Bundesverwaltungsgericht auch zuständig für die Beurteilung des vorliegenden Beschwerdeverfahrens (vgl. auch die diesbezüglich noch heute zutreffende Rechtsprechung der Schweizerischen Asylrekurskommission in Entscheidungen und Mitteilungen der ARK [EMARK] 2003 Nr. 7 E. 2a.aa.)</w:t>
      </w:r>
    </w:p>
    <w:p>
      <w:r>
        <w:rPr>
          <w:b/>
        </w:rPr>
        <w:t>E. 1.2</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sowie Art. 48 Abs. 1, Art. 50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Berücksichtigung der Anträge in der Beschwerde vom 25. September 2007 ist vorliegend zu beurteilen, ob das BFM das Wiedererwägungsgesuch der Beschwerdeführenden vom 15. August 2007 betreffend Vollzug der Wegweisung zu Recht abgewiesen und die Verfügung vom 16. März 2005 als rechtskräftig sowie vollstreckbar erklärte beziehungsweise den Vollzug der Wegweisung zu Recht als zulässig, zumutbar und möglich erachtete oder ob allenfalls die vorläufige Aufnahme anzuordnen wäre. Die Fragen der Flüchtlingseigenschaft und des Asyls bilden demgegenüber nicht Gegenstand des vorliegenden Verfahrens.</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5</w:t>
      </w:r>
    </w:p>
    <w:p>
      <w:r>
        <w:t>Ist der Vollzug der Wegweisung nicht zulässig, nicht zumutbar oder nicht möglich, so regelt die Vorinstanz gemäss Art. 44 Abs. 2 AsylG das Anwesenheitsverhältnis nach den gesetzlichen Bestimmungen über die vorläufige Aufnahme von Ausländern.</w:t>
      </w:r>
    </w:p>
    <w:p>
      <w:r>
        <w:rPr>
          <w:b/>
        </w:rPr>
        <w:t>E. 5.1</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einen Drittstaat entgegenstehen. Der Vollzug kann für Ausländerinnen oder Ausländer unzumutbar sein, wenn sie in Situationen wie Krieg, Bürgerkrieg, allgemeiner Gewalt und medizinischer Notlage im Heimat- oder Herkunftsstaat konkret gefährdet sind (Art. 83 Abs. 2, 3 und 4 des Bundesgesetzes vom 16. Dezember 2005 über die Ausländerinnen und Ausländer [AuG, SR 142.20]).</w:t>
      </w:r>
    </w:p>
    <w:p>
      <w:r>
        <w:rPr>
          <w:b/>
        </w:rPr>
        <w:t>E. 5.2</w:t>
      </w:r>
    </w:p>
    <w:p>
      <w:r>
        <w:t>Gemäss Rechtsprechung der ARK, welcher sich das Bundesverwaltungsgericht anschliesst, sind die Bedingungen für einen Verzicht auf den Vollzug der Wegweisung (Unzulässigkeit, Unzumutbarkeit, Unmöglichkeit)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Grundsätzlich erweist sich der Vollzug der Wegweisung aus medizinischen Gründen dann als unzumutbar, wenn für die betroffene Person bei einer Rückkehr in ihre Heimat eine wesentliche medizinische Behandlung nicht erhältlich wäre. Bei der Prüfung der Voraussetzungen einer konkreten Gefährdung im Sinne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EMARK 2003 Nr. 24 E. 5a am Ende und 5b S. 157 f.).</w:t>
      </w:r>
    </w:p>
    <w:p>
      <w:r>
        <w:rPr>
          <w:b/>
        </w:rPr>
        <w:t>E. 5.4</w:t>
      </w:r>
    </w:p>
    <w:p>
      <w:r>
        <w:t>Sind von einem allfälligen Wegweisungsvollzug Kinder betroffen, so bildet im Rahmen der Zumutbarkeitsprüfung ausserdem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6.2 S. 57 f., EMARK 2006 Nr. 24 E. 6.2.3 S. 259 f.).</w:t>
      </w:r>
    </w:p>
    <w:p>
      <w:r>
        <w:rPr>
          <w:b/>
        </w:rPr>
        <w:t>E. 6.1</w:t>
      </w:r>
    </w:p>
    <w:p>
      <w:r>
        <w:t>Wie bereits den verschiedenen, im Verlaufe des ordentlichen Asylverfahrens auf Beschwerdeebene eingereichten Arztberichten (vgl. Sachverhalt Bst. D) zu entnehmen ist, leidet die Tochter D._______ der Beschwerdeführerin an einer schweren psychomotorischen Entwicklungsverzögerung unklarer Ätiologie mit tetraspastischer Cerebralparese, deren Ursache möglicherweise hereditär ist. Aufgrund der diagnostizierten Krankheit sei D._______ kognitiv sehr limitiert und habe physisch begrenzte Ressourcen. Den behandelnden Ärzten zufolge braucht D._______ während ihrer gesamten Entwicklungszeit umfassende Förderungsmassnahmen, namentlich Physiotherapie, Ergotherapie, Logopädie, sowie heilpädagogische Schulung. Als sinnvoll erachteten die behandelnden Ärzte auch eine beidseitige Unterschenkelorthese. Der Einschätzung von Dr. med M._______ in dessen Bericht vom 19. Dezember 2006 zufolge werde D._______ auch als Erwachsene nie selbständig werden. Für sie sei daher längerfristig eine Platzierung in einer Wohn- und Beschäftigungsgruppe für schwerer Behinderte anzustreben.</w:t>
      </w:r>
    </w:p>
    <w:p>
      <w:r>
        <w:rPr>
          <w:b/>
        </w:rPr>
        <w:t>E. 6.2</w:t>
      </w:r>
    </w:p>
    <w:p>
      <w:r>
        <w:t>In Bezug auf den Sohn C._______ wird in den aktenkundigen Arztberichten festgestellt, dass dieser ebenfalls an einer schweren psychomotorischen Entwicklungsverzögerung unklarer Ätiologie mit tetraspastischer Cerebralparese leide. Ausserdem sei bei ihm eine Mikrocephalie (abnorme Kleinheit des Schädels) zu erkennen. Die Bewegungsstörung sei entweder auf die Cerebralparese oder auf eine neurogenerative Störung zurückzuführen. Auch C._______ brauche während seiner gesamten Entwicklungszeit umfassende Förderungsmassnahmen, namentlich Physiotherapie, Ergotherapie, Lopgopädie, sowie heilpädagogische Schulung. Eventuell wäre auch bei ihm eine beidseitige Unterschenkelorthese sinnvoll. C._______ werde voraussichtlich bis zum Erwachsenenalter selbständiger werden, jedoch sicher nie völlig selbständig. Für ihn biete sich in Zukunft eine Platzierung in einer geschützten Werkstätte an.</w:t>
      </w:r>
    </w:p>
    <w:p>
      <w:r>
        <w:rPr>
          <w:b/>
        </w:rPr>
        <w:t>E. 6.3</w:t>
      </w:r>
    </w:p>
    <w:p>
      <w:r>
        <w:t>Die Ausführungen unter Ziffer 6.1 und 6.2 machen deutlich, dass die sowohl geistige als auch körperliche Behinderung der beiden Kinder D._______ und C._______ nicht heilbar ist, deren Zustand durch geeignete Förderungsmassnahmen indessen bis zu einem gewissen Ausmass verbessert werden kann. In diesem Zusammenhang ist zunächst anzumerken, dass die beiden Kinder seit dem 20. Juli 2007 bei der Grossfamilie U._______, LL._______ und MM._______, in NN._______ untergebracht sind, wo sie laut den Beistandschaftsberichten von W._______ und V._______ vom 1. Juli beziehungsweise 13. Oktober 2010 sehr gut aufgehoben sind. Den besagten Berichten ist im Weiteren zu entnehmen, dass der Start in der Grossfamilie U._______ mit C._______ sehr turbulent verlaufen sei, indem sich dieser nervös und zappelig verhalten habe und tagsüber wie nachts sehr aktiv gewesen sei, wobei sich die Situation nach einigen Wochen beruhigt habe. Aus dem Bericht der Grossfamilie U._______ über C._______ vom Oktober 2010 geht hervor, dass dieser sich schnell ins Familienleben und die Tagestruktur eingelebt hat, Nähe und Zuwendung sucht und durch seine Herzlichkeit auch schnell den Zugang zu den übrigen Kindern der Grossfamilie gefunden hat. Im Übrigen verstehe er T._______deutsch und habe damit begonnen, auch einige elementare deutsche Wörter zu formulieren, wiewohl er mit seiner Umgebung besser via Handzeichen und Gesten zu kommunizieren vermöge. Während C._______ zu Beginn seines Aufenthalts in der Grossfamilie U._______ seine Schwester D._______ oft heftig gebissen, gekratzt und geschlagen habe, sei dieses Verhalten in der Folge einer fürsorglichen Haltung gegenüber seiner Schwester gewichen, die er nachts auch nie wecke, wenn er selber nicht schlafen könne. In Bezug auf D._______ hält der Bericht der Grossfamilie U._______ vom Oktober 2010 im Wesentlichen fest, sie sei meistens fröhlich und gut gelaunt, schlafe viel, könne indessen nicht sprechen, sei in allen Belangen auf Hilfe angewiesen und mache insgesamt sehr wenig Fortschritte. Dem im Juli 2010 verfassten Bericht der JJ._______ ist zu entnehmen, dass C._______ das dritte Jahr die Mittelstufe besucht und in dieser Zeit grosse Fortschritte gemacht habe. So habe er sich die Schulabläufe längst eingeprägt und bewege sich vollkommen selbständig im und rund um das Schulhaus. Überdies nehme er gerne Aufträge entgegen, koche beispielsweise im Winter Tee für seine Klasse, decke den Tisch selbständig und entsorge Pet-Flaschen oder Aluminiumdosen an der entsprechenden Sammelstelle. Im Umgang mit anderen Kindern blühe C._______ auf und sei in der Schule sehr geschätzt und beliebt. Er spiele gerne in Gruppen mit anderen Kindern, könne sich aber auch gut alleine beschäftigen. Bei jeglichen Ballspielen zeige er grosses Geschick. In Bezug auf D._______ hält der Bericht der JJ._______ vom Juli 2010 zusammenfassend fest, dass sie selten Eigeninitiative zeige und kognitiv stark limitiert sei. Zusammenfassend bleibt festzuhalten, dass von den beiden körperlich wie geistig behinderten Kindern der Beschwerdeführerin insbesondere C._______ erhebliche Fortschritte gemacht hat und sich im Schosse der ihn betreuenden Familie (...) ausnehmend wohl fühlt. Darüber hinaus hat er gelernt, sich mit einigen Wörtern Deutsch und unter Zuhilfenahme der Gebärdensprache mit seinem sozialen Umfeld auszutauschen. Es bleibt anzunehmen, dass die erzielten Fortschritte in der Wesensbildung der beiden Kinder unwiderruflich zunichte gemacht würden, falls sie im jetzigen Zeitpunkt aus ihrem hiesigen, sie intensiv fördernden sozialen Umfeld herausgerissen würden und wieder in die Türkei zurückkehren müssten. An dieser Einschätzung vermag angesichts ihrer gewachsenen Anbindung an die Betreuungsstrukturen in der Schweiz auch die grundsätzlich richtige Feststellung nichts zu ändern, wonach auch in der Türkei - namentlich in den grösseren städtischen Zentren - staatliche Behindertenheime beziehungsweise Tagesstätten für geistig und körperlich Behinderte existierten (vgl. Urteil des Bundesverwaltungsgerichts vom 15. Mai 2007 S. 9 E. 6.2.2.3), zumal in den Akten nichts darauf hindeutet, dass die beiden Kinder in der Türkei jemals schulische beziehungsweise therapeutische Fördermassnahmen erfahren hätten.</w:t>
      </w:r>
    </w:p>
    <w:p>
      <w:r>
        <w:rPr>
          <w:b/>
        </w:rPr>
        <w:t>E. 6.4</w:t>
      </w:r>
    </w:p>
    <w:p>
      <w:r>
        <w:t>Bei der Prüfung der Frage der Zumutbarkeit eines Wegweisungsvollzugs in die Türkei fällt aber auch die Situation des gesunden, mittlerweile 14 ½-jährigen Sohnes B._______ der Beschwerdeführerin ins Gewicht: Zufolge eines Selbstmordversuchs der Beschwerdeführerin am (...) entzog die Vormundschaftsbehörde der Gemeinde Q._______ ihr wenig später die elterliche Obhut über ihre drei Kinder, bestellte diesen einen Beistand und platzierte B._______ in der Folge vom 1. August 2007 an bei der Familie OO._______ und PP._______ in Q._______, wo er bis am 9. September 2009 wohnte. Zufolge zunehmender Differenzen zwischen den Pflegeeltern und der Beschwerdeführerin bezüglich dessen Erziehung kündigten diese in der Folge den Pflegevertrag, woraufhin Musa am 10. September 2009 in der Wohngruppe "QQ._______" des Y._______ in T._______ aufgenommen wurde, wo er sich rasch gut einlebte. Als B._______ noch zusammen mit seinen beiden Geschwistern C._______ und D._______ bei seiner Mutter lebte, musste er ihr bei der beschwerlichen Betreuung seiner beiden Geschwister zur Hand gehen und grosse Verantwortung tragen. Dabei drängte ihn seine Mutter zufolge ihrer fragilen psychischen Verfassung in eine Art Beschützerrolle, was ihn selbst seelisch schwer belastete. Als Folge hiervon registrierte die Pflegefamilie (...) bei B._______ zu Beginn eine schwermütige, introvertierte Grundstimmung, die er während seines dortigen Aufenthalts nie vollkommen abzulegen vermochte. Nichtsdestotrotz fasste er allmählich Vertrauen zu seinen Pflegeeltern, fühlte sich in Sicherheit und entwickelte sich zu einem fröhlichen und aufgestellten Jungen. In der Schule machte er grosse Fortschritte, nicht zuletzt dadurch, dass er von seinen Pflegeeltern die nötige Unterstützung bei den Hausaufgaben erhielt. Die Pflegeeltern achteten auch darauf, dass B._______ seine Kindheit unbeschwert ausleben konnte. Auch unterstützten sie den regelmässigen Kontakt zwischen B._______ und dessen Mutter, der - trotz der angesprochenen Differenzen bei der Erziehung mit der Beschwerdeführerin - nunmehr drei von vier Wochenenden bei ihr zubringt. Die grundsätzlich positive Entwicklung von B._______ hielt auch nach seiner Umplatzierung ins Y._______ an, wo er mittlerweile als fröhlicher und angenehmer Junge beschrieben wird. In der Schule zeigt er eine hohe Arbeitsmotivation. Auch vermochte er am neuen Ort gute Kontakte zu anderen Kindern zu knüpfen (vgl. zum Ganzen Beistandschaftsbericht von W._______ vom 1. Juli 2010). Zusätzlich hält die Leiterin des Y._______ - X._______ - in ihrem Bericht vom 19. Oktober 2010 fest, die schulischen Leistungen B._______ hätten sich seit seinem Eintritt in das (...) nochmal klar verbessert, wobei er eine rechte Ausdauer bei Arbeiten wie Hausaufgaben, "Ämtli" und Kochen entwickelt habe, bei der Reflexion seines Verhaltens Fortschritte gemacht habe und in einigen Alltagsfertigkeiten (z.B. Mittagstischbetreuung von vier- bis sechsjährigen Kindern) selbständiger und auch zuverlässiger geworden sei. Im Weiteren herrsche mittlerweile zwischen B._______ und dessen Mutter trotz gewisser (soziokultureller) Schwierigkeiten eine sehr herzliche, warme und gute Beziehung zueinander. All diese Feststellungen und Beobachtungen in der schulischen und menschlichen Entwicklung B._______ machen deutlich, dass die enge schulische und soziale Begleitung seiner Person bei ihm dazu geführt hat, dass er mehr Selbstsicherheit und wohl auch Selbstwertgefühl entwickelt hat und dadurch mehr und mehr in die Lage gesetzt wird, die bei sich selbst gefundene Sicherheit an andere weiterzugeben. Auch dieser Entwicklungsprozess würde wohl zumindest erheblich gestört, falls B._______ in die Türkei zurückkehren müsste, wo er mutmasslich auch wieder seine frühere Ersatzvaterrolle für seine beiden jüngeren behinderten Geschwister übernehmen müsste. Im Weiteren erscheint fraglich, ob sich seine in der Schweiz begonnene (Schul-) Ausbildung in angemessener Weise in seinem Heimatland fortsetzen respektive aufnehmen liesse, zumal er nicht über jene schriftlichen Sprachkenntnisse in seiner Muttersprache verfügen dürfte, die für den Unterricht in seinem Heimatland notwendig wären. Gleichzeitig ist aufgrund der hier von ihm absolvierten Schuljahre sowie seiner ausserschulischen Kontakte davon auszugehen, dass er im heutigen Zeitpunkt an die schweizerische Lebensweise assimiliert und dadurch in erheblichem Mass durch das hiesige kulturelle und soziale Umfeld geprägt worden ist. Da er einen erheblichen Teil seiner Kindheit beziehungsweise seiner Jugend in der Schweiz verbracht hat, ist auch nicht davon auszugehen, dass er noch über - enge - Beziehungen zu seinem Heimatstaat verfügt. Im Falle einer Rückschaffung in seine Heimat bestünde daher für den minderjährigen Jungen im heutigen Zeitpunkt zusätzlich die Gefahr, aus einem hier gewachsenen sozialen Umfeld herausgerissen zu werden. Eine solche Entwurzelung einerseits sowie die sich gleichzeitig abzeichnende Problematik einer Integration in eine ihm fremde respektive fremd gewordene Umgebung und Kultur im Heimatland andererseits könnte indessen - wie bereits an früherer Stelle angetönt - zu Belastungen in seiner Entwicklung führen, was mit dem Schutzanliegen des Kindeswohls nicht zu vereinbaren wäre.</w:t>
      </w:r>
    </w:p>
    <w:p>
      <w:r>
        <w:rPr>
          <w:b/>
        </w:rPr>
        <w:t>E. 6.5</w:t>
      </w:r>
    </w:p>
    <w:p>
      <w:r>
        <w:t>Wie den in Bst. F und H des Sachverhalts angeführten ärztlichen Berichten und den beiden Verfügungen der Vormundschaftsbehörde der Gemeinde Q._______ vom (...) und vom (...) zu entnehmen ist, wurde die Beschwerdeführerin nach einem Selbstmordversuch am (...) in die Klinik der P._______ eingewiesen, wo sie bis am (...) stationär und bis am (...) teilstationär behandelt wurde. Ihr Selbstmordversuch beruhte nach Angaben der sie behandelnden Ärzteschaft zum einen auf der drohenden Ausschaffung in ihre Heimat, zum anderen auf einer permanenten Überforderungssituation, welche die ständige Betreuung zweier geistig und körperlich behinderter Kinder mit sich brachte. Als Folge des Selbstmordversuchs entzog die Vormundschaftsbehörde der Gemeinde Q._______ der Beschwerdeführerin die elterliche Obhut über ihre drei Kinder und ordnete unter Errichtung einer Beistandschaft unverzüglich deren Unterbringung in einem Sonderschulheim (C._______ und D._______) beziehungsweise bei einer Pflegefamilie (B._______) an. Die Fremdplatzierung der drei Kinder der Beschwerdeführerin dauert bis heute an (vgl. u.a. Beistandschaftsbericht von V._______ vom 13.10. 2010 und Beistandschaftsbericht von W._______ vom 1.7. 2010). Aus dem aktuellen ärztlichen Zwischenbericht von Dr. S._______/ FMH Psychiatrie und Psychotherapie vom 20. Oktober 2010 geht zwar hervor, dass sich der psychische Zustand der Beschwerdeführerin im Vergleich zum Vorbericht (vom 27.9. 2007) stabilisiert habe, diese aber noch immer unter beträchtlichen Stimmungsschwankungen leide beziehungsweise zu heftigen Gefühlsausbrüchen neige, wenn sie sich überfordert fühle. Die Patientin befinde sich seit September 2007 bei der behandelnden Ärztin in psychotherapeutischer Behandlung, wobei bis heute 44 einstündige Gespräche zwischen ihnen stattgefunden hätten. Die Beschwerdeführerin sei bis heute auf antidepressive und schlaffördernde Medikamente angewiesen und bedürfe als Mutter zweier schwerbehinderter Kinder zumindest bis auf Weiteres einer psychotherapeutischen Begleitung. Das aus den skizzierten Aussagen der behandelnden Psychiaterin erwachsende Bild einer Patientin in nach wie vor fragiler seelischer Verfassung findet letztlich auch seine Entsprechung durch die in beiden Beistandschaftsberichten enthaltene Feststellung, deren psychische Gesundheit sei als "angegriffen" beziehungsweise "angeschlagen" einzustufen, weshalb die Beistandschaft in Verbindung mit einem ordentlichen Obhutsentzug weitergeführt werden müsse. Nach dem Gesagten lässt auch ein Blick auf die psychische Gesundheitssituation der Beschwerdeführerin deren Wegweisungsvollzug in die Türkei nicht als angeraten erscheinen.</w:t>
      </w:r>
    </w:p>
    <w:p>
      <w:r>
        <w:rPr>
          <w:b/>
        </w:rPr>
        <w:t>E. 7.1</w:t>
      </w:r>
    </w:p>
    <w:p>
      <w:r>
        <w:t>In Würdigung all dieser Umstände gelangt das Bundesverwaltungsgericht zum Schluss, dass von einer seit Abschluss des ordentlichen Asylverfahrens wesentlich veränderten Sachlage im Sinne der unter E. 4 aufgeführten Kriterien auszugehen und der Vollzug der Wegweisung der Beschwerdeführenden im heutigen Zeitpunkt als unzumutbar im Sinne von Art. 83 Abs. 4 AuG zu qualifizieren ist. Nachdem sich aus den Akten keine Hinweise auf das Vorliegen von Ausschlussgründen (Art. 83 Abs. 7 AuG) ergeben, sind die Voraussetzungen für die Anordnung der vorläufigen Aufnahme erfüllt.</w:t>
      </w:r>
    </w:p>
    <w:p>
      <w:r>
        <w:rPr>
          <w:b/>
        </w:rPr>
        <w:t>E. 7.2</w:t>
      </w:r>
    </w:p>
    <w:p>
      <w:r>
        <w:t>Zusammenfassend ergibt sich, dass die Beschwerde gutzuheissen ist. Die angefochtene Verfügung vom 27. August 2007 ist nach dem Gesagten aufzuheben. Das BFM ist sodann anzuweisen, in teilweiser Wiedererwägung seiner Verfügung vom 16. März 2005 die Beschwerdeführerin sowie ihre drei Kinder in der Schweiz vorläufig aufzunehmen (Art. 44 Abs. 2 AsylG i.V.m. Art. 83 Abs. 1 und 4 AuG).</w:t>
      </w:r>
    </w:p>
    <w:p>
      <w:r>
        <w:rPr>
          <w:b/>
        </w:rPr>
        <w:t>E. 8.1</w:t>
      </w:r>
    </w:p>
    <w:p>
      <w:r>
        <w:t>Bei diesem Ausgang des Verfahrens sind keine Kosten aufzuerlegen (vgl. Art. 63 Abs. 1 und 2 VwVG). Das Gesuch um Gewährung der unentgeltlichen Rechtspflege im Sinne von Art. 65 Abs. 1 VwVG ist damit gegenstandslos geworden.</w:t>
      </w:r>
    </w:p>
    <w:p>
      <w:r>
        <w:rPr>
          <w:b/>
        </w:rPr>
        <w:t>E. 8.2</w:t>
      </w:r>
    </w:p>
    <w:p>
      <w:r>
        <w:t>Den Beschwerdeführerenden ist - als vollständig obsiegender Partei - für die ihnen im Beschwerdeverfahren erwachsenen notwendigen Kosten eine Parteientschädigung zuzusprechen (Art. 64 Abs. 1 VwVG, Art. 16 Abs. 1 VGG i.V.m. Art. 7 Abs. 1 des Reglements vom 21. Februar 2008 über die Kosten und Entschädigungen vor dem Bundesverwaltungsgericht [VGKE, SR 173.320.2]). Im vorliegenden Verfahren wurde seitens der Rechtsvertretung keine Kostennote eingereicht. Auf die Nachforderung einer solchen wird indessen verzichtet (vgl. Art. 14 Abs. 2 VGKE), da sich der Parteiaufwand zuverlässig abschätzen lässt. Gestützt auf die in Betracht zu ziehenden Bemessungsfaktoren (Art- 9-13 VGKE) wird die Parteientschädigung aufgrund der Akten auf pauschal Fr. 3'000.-- (inkl. Auslagen und Mehrwertsteuer) festgesetzt. Das BFM ist anzuweisen, den Beschwerdeführenden diesen Betrag als Parteientschädigung auszurichten (Art. 10 Abs. 2 und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