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D-6441/2015 vom 10. März 2017</w:t>
      </w:r>
    </w:p>
    <w:p>
      <w:r>
        <w:t>Bundesverwaltungsgericht, 2017-03-10, DE</w:t>
      </w:r>
    </w:p>
    <w:p>
      <w:r>
        <w:rPr>
          <w:b/>
        </w:rPr>
        <w:t xml:space="preserve">Quelle: </w:t>
      </w:r>
      <w:r>
        <w:t>https://mcp.opencaselaw.ch/entscheid/bvger_D-6441_2015</w:t>
      </w:r>
    </w:p>
    <w:p>
      <w:r>
        <w:t>FR: TAF D-6441/2015 du 10 mars 2017</w:t>
      </w:r>
    </w:p>
    <w:p>
      <w:r>
        <w:t>IT: TAF D-6441/2015 del 10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Der Wegweisungsvollzug wurde zugunsten einer vorläufigen Aufnahme aufgeschoben und bildet deshalb nicht mehr Gegenstand des Beschwerdeverfahrens.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Zur Begründung seiner Beschwerdebegehren macht der Beschwerdeführer im Wesentlichen geltend, die Vorinstanz habe seine Vorbringen zu Unrecht als wirklichkeitsfremd qualifiziert. Vielmehr wirkten seine Schilderungen realitätsnahe und glaubhaft. Insbesondere habe er - beispielsweise bei den Läusen oder dem Geruch des Kübels für die Notdurft - erlebnisgeprägte Einzelheiten geschildert, die einer Person, die eine solche Geschichte lediglich erfinden würde, wohl nicht einfielen. Die Flucht aus dem Gefängnis sei ihm denn auch in einer Ausnahmesituation gelungen. Das von ihm beschriebene Sicherheitsprozedere beziehe sich demgegenüber auf das tägliche Verrichten der Notdurft aller Häftlinge und nicht auf das Verlassen der Zelle in einer Ausnahmesituation, in vorliegendem Fall wegen Diarrhö. Der Beschwerdeführer habe den Wärter, der ihn aus der Zelle geholt habe, im gegebenen Moment weggestossen, weshalb dieser zuerst die Zelle wieder habe abschliessen müssen und nicht in der Lage gewesen sei, ihn auf der Flucht einzuholen. Zudem habe er den Heimatstaat tatsächlich illegal verlassen.</w:t>
      </w:r>
    </w:p>
    <w:p>
      <w:r>
        <w:rPr>
          <w:b/>
        </w:rPr>
        <w:t>E. 6.1</w:t>
      </w:r>
    </w:p>
    <w:p>
      <w:r>
        <w:t>Die Vorbringen in der Beschwerdeschrift vermögen nicht zu einer veränderten Betrachtungsweise zu führen.</w:t>
      </w:r>
    </w:p>
    <w:p>
      <w:r>
        <w:rPr>
          <w:b/>
        </w:rPr>
        <w:t>E. 6.2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(als Referenzurteil publiziert)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 Das Bundesverwaltungsgericht hat im oben genannten Koordinationsentscheid D-7898/2015 vom 30. Januar 2017 die Zulässigkeit der durch die Vorinstanz vorgenommenen Praxisänderung bestätigt. Nach dem Gesagten könnte der Beschwerdeführer aus BVGE 2010/54 selbst dann nichts zu seinen Gunsten ableiten, wenn er unbestrittenermassen illegal ausgereist wäre. Dementsprechend erübrigt es sich, der Frage nachzugehen, ob der Beschwerdeführer die illegale Ausreise aus dem Heimatstaat glaubhaft gemacht hat.</w:t>
      </w:r>
    </w:p>
    <w:p>
      <w:r>
        <w:rPr>
          <w:b/>
        </w:rPr>
        <w:t>E. 6.3</w:t>
      </w:r>
    </w:p>
    <w:p>
      <w:r>
        <w:t>Was den Vorfluchtgrund anbelangt, so hält dieser - wie bereits von der Vorinstanz zutreffend festgestellt - im vorgetragenen Masse den Anforderungen an Art. 7 AsylG nicht stand. Insbesondere ist es dem Beschwerdeführer nicht gelungen, seine angebliche Flucht aus dem Gefängnis glaubhaft zu schildern. Anlässlich der Anhörung machte er im Kontext mit dem Toilettengang nämlich geltend, sie hätten jeweils am Morgen hinausgehen dürfen, um die Notdurft zu verrichten. Dabei seien jeweils zwei Personen mit einer Handschelle zusammengekettet worden. Sie seien von vier Polizisten begleitet worden, wobei einer die Häftlinge vorne, einer hinten, einer rechts und einer links eskortiert habe. Sie hätten nicht weit gehen müssen (vgl. A17/18 F77 S. 9). Dieses Vorgehen entspräche einem Sicherheitsstandard, der eine Flucht als einigermassen aussichtsloses Unterfangen erscheinen liesse. In diesem Zusammenhang ist es beispielsweise nicht plausibel, dass den Vorbringen des Beschwerdeführers zufolge im Gefängnis unterschiedliche Standards angewendet worden wären. So soll ihn ein einzelner Wärter auf die Mitteilung hin, er habe Diarrhö, aus der Zelle geholt haben. Bei dieser Gelegenheit habe er ihn weggestossen und das Weite gesucht. Da der Wärter angesichts von 20 Zellengenossen noch die Zellentüre habe abschliessen müssen, sei ihm die Flucht gelungen (vgl. a.a.O. F49 S. 6, F75 S. 8). Dieses Vorbringen dürfte lediglich auf der wirklichkeitsfremden Vorstellung des Beschwerdeführers beruhen, ein einzelner Wärter oder Polizist sei das einzige Hindernis, das ein Häftling in Sawa bei der Flucht aus dem Gefängnis überwinden müsse. Derlei ist indessen nicht der Fall, wie schon die in der Beschwerdeschrift präsentierte Beschreibung des Lagers in Sawa durch den UN Human Rights Council erkennen lässt. Dementsprechend drängt sich zum einen der Eindruck auf, zumindest diese in der Beschwerde zitierte Beschreibung habe dem Beschwerdeführer, der immerhin eine kleine Skizze von Sawa anfertigen konnte, bei der Vorbereitung auf die beiden Anhörungen nicht zur Verfügung gestanden. Zum anderen erscheint jeglicher Aufenthalt des Beschwerdeführers in Sawa angesichts seiner Ignoranz bezüglich der Sicherheitsvorkehrungen als unglaubhaft; hieran ändern auch die vom Beschwerdeführer eingereichten Beweismittel nichts. Im Übrigen hat sich der Beschwerdeführer gerade zu den Sicherheitsvorkehrungen anlässlich der BzP diametral widersprüchlich zu seinen späteren Vorbringen anlässlich der Anhörung geäussert, machte er doch geltend, "sie" hätten ihn hinaus begleitet, um ihn seine Notdurft verrichten zu lassen (vgl. A3/12 Ziff. 7.01 S. 7). Das würde bedeuten, dass er vor mehreren Wärtern oder Polizisten erfolgreich geflüchtet wäre. Der Widerspruch lässt im Verbund mit der Substanzlosigkeit der Schilderung, wie er aus dem Lager geflüchtet sei, den Schluss zu, der Beschwerdeführer konnte bei seinen Schilderungen nicht auf Erinnerungen an tatsächliche Begebenheiten zurückgreifen. Nachdem der Beschwerdeführer neben der illegalen Ausreise keine zusätzlichen Anknüpfungspunkte für eine Verschärfung seines Profils zu belegen oder mindestens glaubhaft zu machen vermag, lässt sich keine asylrechtlich beachtliche Verfolgung annehmen. Nach dem Gesagten vermögen die weiteren Beschwerdeausführungen am Beweisergebnis nichts zu ändern. Indem die Vorinstanz eine vorläufige Aufnahme anordnete, hat sie den Umständen des Einzelfalls (Lage vor Ort) ausreichend Rechnung getragen. Um Wiederholungen zu vermeiden, ist auf das erwähnte Koordinationsurteil des Bundesverwaltungsgerichts, die zutreffenden Erwägungen der Vorinstanz, die zu Recht die Flüchtlingseigenschaft verneint und das Asylgesuch des Beschwerdeführers abgelehnt hat, sowie diejenigen in der Zwischenverfügung vom 12. November 2015 zu verweisen.</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19. November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