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D-6441/2010 vom 1. Mai 2012</w:t>
      </w:r>
    </w:p>
    <w:p>
      <w:r>
        <w:t>Bundesverwaltungsgericht, 2012-05-01, DE</w:t>
      </w:r>
    </w:p>
    <w:p>
      <w:r>
        <w:rPr>
          <w:b/>
        </w:rPr>
        <w:t xml:space="preserve">Quelle: </w:t>
      </w:r>
      <w:r>
        <w:t>https://mcp.opencaselaw.ch/entscheid/bvger_D-6441_2010</w:t>
      </w:r>
    </w:p>
    <w:p>
      <w:r>
        <w:t>FR: TAF D-6441/2010 du 1 mai 2012</w:t>
      </w:r>
    </w:p>
    <w:p>
      <w:r>
        <w:t>IT: TAF D-6441/2010 del 1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Vorab ist über den Kassationsantrag der Beschwerdeführenden zu befin­den. Sie machen insbesondere geltend, die Vorinstanz habe erforderliche Sachverhaltsabklärungen unterlassen und ein eingereichtes Beweismittel nicht gebührend berücksichtigt.</w:t>
      </w:r>
    </w:p>
    <w:p>
      <w:r>
        <w:rPr>
          <w:b/>
        </w:rPr>
        <w:t>E. 3.2</w:t>
      </w:r>
    </w:p>
    <w:p>
      <w:r>
        <w:t>Diese Rügen vermögen nicht zu überzeugen. Das BFM hat in seiner Vernehmlassung vom 14. Oktober 2010 die Einwände der Beschwerdefüh­renden in überzeugender Weise entkräftet. Aufgrund der Aussagen der Beschwerdeführerin und der bereits eingereichten ärztli­chen Unterlagen hatten sich in der Tat medizinische Abklärungen erübrigt. Dies auch deshalb, weil die Beschwerdeführerin bei der Anhörung erklärt hatte, seit 1996 die Hilfe verschiedener Ärzte in der Türkei in Anspruch ge­nommen zu haben (A 18/20 S. 15 unten f.). Entsprechend konnte das BFM davon ausgehen, dass ihr eine ärztliche Behandlung auch nach der Rückkehr nicht verwehrt sein würde. Im Weiteren wurde die Anhörung in ei­nem reinen Frauenteam durchgeführt, wobei die Beschwerdeführerin nicht den Eindruck erweckte, der Anhörung nicht folgen oder sich nicht mit­teilen zu können. Weitere Abklärungen waren demnach auch in die­sem Lichte besehen nicht von Nöten. Unzutreffend ist auch der Vorwurf, das BFM habe das am Tag der Anhörung eingereichte Beweismittel nicht übersetzt beziehungsweise nicht berücksichtigt. Die Übersetzung findet sich in der Akte A 28/3 und ist entgegen der Sichtweise der Beschwerdefüh­renden durchaus lesbar. Die beantragte Neuübersetzung dieser sowie der Akte A 19/3 durch das BFM erübrigt sich schon aus die­sem Grund. Überdies handelt es sich bei der besagten Akten A 21 beziehungsweise 22 ohne­hin nicht um entscheidwesentliche Dokumente, da darin gemäss Überset­zung keine behördliche Suche nach der Beschwerdeführerin we­gen eines Vermögensdelikts belegt wird. Die summarische Würdigung des Do­ku­ments durch das BFM ist mit­hin nicht zu beanstanden. Abgesehen da­von würde das nach wie vor geltend gemachte Verfahren gegen sie we­gen Betruges und Veruntreuung selbst bei tatsächlichem Bestehen vorlie­gend als Ahndung eines gemeinrechtlichen Delikts durch die türkischen Be­hör­den keine asylrelevante Verfolgung ausmachen.</w:t>
      </w:r>
    </w:p>
    <w:p>
      <w:r>
        <w:rPr>
          <w:b/>
        </w:rPr>
        <w:t>E. 3.3</w:t>
      </w:r>
    </w:p>
    <w:p>
      <w:r>
        <w:t>Nach dem Gesagten hat das BFM den rechtserheblichen Sachver­halt genügend und ohne Verletzung von Gehörsansprüchen abgeklärt, und die beantragte Kassation des Entscheids kommt nicht in Betracht. Ent­sprechend erübrigt sich auch die eventualiter beantragte Anhörung der Beschwerdeführerin durch das Bundesverwaltungsgericht.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Nachteilen, die Frauen zugefügt werden oder zugefügt zu werden dro­hen, liegt ein flüchtlingsrechtlich relevantes Motiv im Sinne von Art. 3 Abs. 1 AsylG dann zugrunde, wenn diese Nachteile in diskriminierender Weise an das Merkmal des (weiblichen) Geschlechts anknüpfen. Dies ist etwa der Fall, wenn in Ländern mit weit verbreiteten traditionell-konser­va­tiven Wertvorstellungen von Zwangsheirat oder Ehrenmord bedrohte Frauen und Mädchen nicht denselben staatlichen Schutz erhalten, mit dem im All­gemeinen männliche Opfer von privater Gewalt rechnen können (vgl. Ur­teil D-4289/2006 vom 11. September 2008 E. 6.4).</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hat die Vorbringen im Zusammenhang mit der ehelichen und ausserehelichen Gewalt, welche die Beschwerdeführerin durch ihren (Ex)Mann erlitt, nicht als unglaubhaft bezeichnet. Aufgrund der Aktenlage geht auch das Bundesverwaltungsgericht davon aus, dass sie in C._______ Opfer von Gewalt seitens ihres Mannes wurde. Es ist demnach zu prüfen, ob sie in der Türkei seitens der Behörden und Institutionen Schutz erlan­gen konnte beziehungsweise kann oder ob sie auf internationalen Schutz - der lediglich subsidiär zur Anwendung kommt - angewiesen ist (vgl. BVGE 2008/12 E. 5 S. 154 f.).</w:t>
      </w:r>
    </w:p>
    <w:p>
      <w:r>
        <w:rPr>
          <w:b/>
        </w:rPr>
        <w:t>E. 5.2</w:t>
      </w:r>
    </w:p>
    <w:p>
      <w:r>
        <w:t>Im Urteil D-5327/2009 vom 30. März 2010 hielt das Bundesverwaltungs­gericht unter Hinweis auf verschieden Quellen Folgen­des fest: Die Türkei habe in den vergangenen Jahren kontinuierlich Schritte zur Verbesserung der rechtlichen und gesellschaftlichen Situation der Frauen im Allgemeinen sowie im Besonderen zu deren Schutz vor Über­griffen mit soziokulturellem Hintergrund bis hin zum Ehrenmord unter­nommen. So sei im Jahre 1998 das Familienschutzgesetz Nr. 4320 in Kraft getreten, wel­ches im Jahre 2007 ergänzt worden sei und auf Gewalt­prävention, Opferschutz sowie Bestrafung von Übergriffen abziele. Zu diesem Zweck seien Familiengerichte eingerichtet worden. Der Zu­gang zu diesen Gerichten sei für die klagende Partei kostenlos, wie im Übri­gen auch die Vollstreckung eines allfälligen Urteils. Mit einer entspre­chenden Revision des türkischen Strafgesetzbuches seien im Jahre 2004 zudem die Strafrahmen von Straftaten gegen Frauen erhöht und gleichzei­tig die früher bestehenden Strafmilderungsgründe in Fällen von Eh­renmord und Verge­waltigung aufgehoben worden. Das Gemeindege­setz Nr. 5393 verpflichte sodann jede Gemeinde mit über 50'000 Einwoh­nern zum Aufbau von Schutzeinrichtungen für Frauen und Kinder. In Nach­achtung dieser neuen gesetzlichen Bestimmungen sei es seither einer­seits verschiedentlich zu Verurteilungen von Männern, welche sich ei­nes Ehrverbrechens schuldig gemacht hätten, gekommen. Andererseits seien etliche Frauenhäuser eingerichtet worden. So betreibe das Generaldi­rektorat für Soziale Dienste und Kinderschutz derzeit 23 solche Unterkünfte und habe die Errichtung von weiteren zehn Häusern in Aus­sicht gestellt. Im Oktober 2007 ha­be die Organisation zusätzlich eine von der EU finanziell unterstützte Telefon-Hotline installiert, welche Anrufe von bedrohten Frauen entgegennehme und die Opfer innerfamiliärer Gewalt an die zuständige Polizeistelle verweise sowie Anwälte und psychologi­sche Fachpersonen vermittle. Da­neben seien auch verschiedene spezifi­sche Nichtregierungsorganisationen um eine Verbesserung der Stellung der Frau sowie um Unter­stüt­zung und Gewährung von Schutz an Opfer in­nerfamiliärer Gewalt bemüht. Diese arbeiteten nach eigenen Angaben gut mit den staatlichen Stellen und den Polizeibehörden zusammen (vgl. a.a.O. E. 6.3.3).</w:t>
      </w:r>
    </w:p>
    <w:p>
      <w:r>
        <w:rPr>
          <w:b/>
        </w:rPr>
        <w:t>E. 6.1</w:t>
      </w:r>
    </w:p>
    <w:p>
      <w:r>
        <w:t>Dieses Umdenken in Bezug auf frauenspezifische Schutzanliegen sei­tens staatlicher Stellen ist zwar betreffend Umsetzung entsprechender Programme eher langsam. Immerhin hat das türkische Parlament am 8. März 2012 - dem Internationalen Frauentag - eine Reihe von Gesetzen zum Schutz von Frauen und Kindern vor Misshandlungen verabschiedet. Die Gesetze sehen schärfere Strafen für Gewalttäter vor, die Frauen und Kinder misshandeln. Auch erlauben sie es der Polizei, zum Schutz der Op­fer früher einzugreifen (vgl. die Pressemeldung auf S. 2 der NZZ vom 9. März 2012).</w:t>
      </w:r>
    </w:p>
    <w:p>
      <w:r>
        <w:rPr>
          <w:b/>
        </w:rPr>
        <w:t>E. 6.2</w:t>
      </w:r>
    </w:p>
    <w:p>
      <w:r>
        <w:t>Nach dem Gesagten ist davon auszugehen, dass sich die Be­schwer­deführerin in C._______ vor der Ausreise nicht in einer ausweglo­sen Situation befand und sich nach der Rückkehr aufgrund der weiter ver­besserten Situation insbesondere auch nicht in einer solchen befinden wird. Sie macht zwar geltend, die Polizei habe auf ihre Anzeigen hin nicht adäquat reagiert. Das BFM hat die vorgebrachte Untätigkeit der Polizei auf­grund der substanzlosen Schilderungen der Beschwerdeführerin für un­glaubhaft erachtet. Es dürfte in der Tat zutreffen, dass sich die geschil­derte Verhaltensweise der Polizei - sollte sich die Beschwerdeführerin tat­sächlich an die Behörden gewendet haben - in der Realität nicht so ereig­net hat. Unbesehen dieser Sachlage hätte die Beschwerdeführerin aber in Berücksichtigung der geschilderten Strukturen die Möglichkeit, ein allfälliges Fehl­verhalten der Beamten bei dafür zuständigen Stellen gel­tend zu machen (vgl. E. 5.2. vorstehend).</w:t>
      </w:r>
    </w:p>
    <w:p>
      <w:r>
        <w:rPr>
          <w:b/>
        </w:rPr>
        <w:t>E. 6.3</w:t>
      </w:r>
    </w:p>
    <w:p>
      <w:r>
        <w:t>Zusammenfassend ergibt sich, dass die Beschwerdeführerin im Falle erneuter Behelligungen durch ihren Exmann nach der Rückkehr die Möglich­keit hätte, in C._______ an eine grundsätzlich vorhandene Schutzinfra­struktur zu gelangen. Die eingereichten Beweismittel, welche vom BFM korrekt gewürdigt wurden, rechtfertigen keine andere Sicht­weise. Begrün­dete Furcht wegen fehlender Schutzwilligkeit oder Schutzfä­higkeit des Staates im Hinblick auf allfällige Gewalt durch einen pri­vaten Dritten ist somit zu verneinen.</w:t>
      </w:r>
    </w:p>
    <w:p>
      <w:r>
        <w:rPr>
          <w:b/>
        </w:rPr>
        <w:t>E. 6.4</w:t>
      </w:r>
    </w:p>
    <w:p>
      <w:r>
        <w:t>Im Zusammenhang mit der geltend gemachten Homosexualität des nunmehr volljährigen Beschwerdeführers macht der Rechtsvertreter gel­tend, es lägen Gründe vor, die neu gegen die Zumutbarkeit, aber auch die Zulässigkeit des Vollzugs sprächen. Auf die entsprechenden Vorbrin­gen ist demnach bei der Prüfung des Vollzugs der Wegweisung einzugehen, zumal nichts darauf hinweist, Homosexuelle hätten in der Türkei generell asylrechtlich relevante Verfolgung zu gewärtigen.</w:t>
      </w:r>
    </w:p>
    <w:p>
      <w:r>
        <w:rPr>
          <w:b/>
        </w:rPr>
        <w:t>E. 6.5</w:t>
      </w:r>
    </w:p>
    <w:p>
      <w:r>
        <w:t>Unter Berücksichtigung der gesamten Umstände folgt, dass die Be­schwerdeführenden keine Gründe nach Art. 3 AsylG nachweisen oder glaub­haft machen konnten. Die Vorinstanz hat die Flüchtlingseigen­schaft dem­nach zu Recht verneint und das Asylgesuch abgelehnt. An dieser Ein­schät­zung vermögen die weiteren Ausführungen in der Eingabe nichts zu ändern.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verfügen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die Türkei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Dies ist ih­nen ge­mäss oben stehenden Ausführungen nicht gelungen. Soweit der Be­schwerdeführer wegen seiner Homosexualität eine Gefährdung im bevor­stehenden Militärdienst geltend macht, kann den Akten nicht entnom­men werden, dass er bereits ein entsprechendes Aufgebot erhal­ten hätte. Eine konkrete Gefahr ist entsprechend schon aus diesem Grund zu verneinen.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Das Bundesverwaltungsgericht geht davon aus, dass die all­ge­mei­ne Lage in der Türkei nicht durch Krieg, Bürgerkrieg oder durch eine Si­tua­tion allgemeiner Gewalt gekennzeichnet ist, aufgrund derer die Zivilbe­völ­kerung als konkret gefährdet bezeichnet werden müsste. Der Voll­zug der Wegweisung ist unter diesen Umständen nicht generell als un­zu­mut­bar zu bezeichnen.</w:t>
      </w:r>
    </w:p>
    <w:p>
      <w:r>
        <w:rPr>
          <w:b/>
        </w:rPr>
        <w:t>E. 8.4.2</w:t>
      </w:r>
    </w:p>
    <w:p>
      <w:r>
        <w:t>Die Beschwerdeführerin stammt aus C._______. Im Sinne ihrer Vorbrin­gen ist davon auszugehen, dass gewisse familiäre Bande auch zu Per­sonen vor Ort nach wie vor bestehen (A 1/9 S. 3 ff.; A 18/20 S. 6, 15 und 17) und sie sich auch im Übrigen auf ein breites soziales Netz stützen kann. Zudem existiert ein offenbar enges Verhältnis zu den Verwandten in der Schweiz, wo insbesondere auch ihre Tochter lebt. Eine in der Türkei erfol­gende Unterstützung durch Verwandte aus dem Ausland ist mithin durchaus realistisch. Zudem hat die Beschwerdeführerin ausgesagt, in der Türkei immer einen Arbeitsplatz gehabt zu haben und nicht aus finanziellen Gründen in die Schweiz gereist zu sein (A 18/20 S. 4 f.). Schliesslich kann sie sich bei ihrer Rückkehr auch auf ihren inzwischen volljährigen Sohn stützen, der mit ihr zurückkehren wird und dem es nicht schwerfallen dürfte, aufgrund seiner in der Schweiz erworbenen Ausbildung ein Auskommen zu finden. Nach dem Ge­sagten ist nicht zu erwarten, dass die Beschwerdeführerin in eine existenzgefährdende Lage gerät, auch wenn gewisse wirtschaftliche Schwierigkeiten nicht ausgeschlos­sen werden können.</w:t>
      </w:r>
    </w:p>
    <w:p>
      <w:r>
        <w:rPr>
          <w:b/>
        </w:rPr>
        <w:t>E. 8.4.3</w:t>
      </w:r>
    </w:p>
    <w:p>
      <w:r>
        <w:t>Allerdings leidet die Beschwerdeführerin gemäss Aktenlage seit lan­ger Zeit unter verschiedenen und namentlich psychischen Beschwer­den. Diesbezüglich habe sie seit 1996 die Hilfe verschiedener Ärzte in der Tür­kei in Anspruch genommen (A 18/20 S. 15 unten f.). Entsprechend darf davon ausgegangen werden, dass ihr eine ärztliche Weiterbehand­lung auch nach der Rückkehr nicht verwehrt sein wird. Gemäss den ge­stützt auf Behandlungen in der Schweiz eingereichten Berichten leidet sie an einer chronifizierten depressiven Störung im Ausmass einer mittelgradi­gen beziehungsweisen schweren Episode, einer chronischen Schmerzstörung und hat auch in der Schweiz Suizidversuche begangen. Es wurde ein Status nach traumatischen Erlebnissen in der Ehe und der Heimat diagnostiziert. Ferner soll sie am 15. November 2011 notfallmäs­sig ins Spital eingetreten sein. Dies wegen einer Verschlimmerung der Ganzkörperschmerzen und der depressiven Verstimmung mit Suizidgedan­ken. Mit ei­ner phasenweisen Verschlechterung der Symptoma­tik und weiteren stationären Behandlungen müsse gerechnet wer­den (vgl. die Arztberichte vom 21. Oktober 2010, 7. Dezember 2010 so­wie 16. November 2011).</w:t>
      </w:r>
    </w:p>
    <w:p>
      <w:r>
        <w:rPr>
          <w:b/>
        </w:rPr>
        <w:t>E. 8.4.4</w:t>
      </w:r>
    </w:p>
    <w:p>
      <w:r>
        <w:t>Die Leiden der Beschwerdeführerin sind als gravierend einzustu­fen. Es ist von einem relativ intensiven langjährigen Krankheitsver­lauf aus­zugehen, wobei die ersten Jahre in der Schweiz mögli­cherweise eine Erleichterung brachten. Die Beschwerdeführerin kann jedoch bei einer Rückkehr auf die auch in der Türkei bestehende medizinische Infrastruktur zu­rückgreifen, welche eine Therapie ihrer Beschwerden zulassen. Dies hat vor allem für C._______ zu gelten, wo sie vor der Ausreise lange Zeit gelebt und auch gearbeitet hat und wo nach dem Gesagten ein gewisser sozialer Rückhalt besteht. Eine Behandlung ihrer Be­schwerden hat dort im Übrigen auch schon vor ihrer Ausreise stattgefunden. In Bezug auf die Suizidgefahr ist auf die Möglichkeit stabilisierender Massnahmen bei der Rückkehr hinzuwei­sen. Überdies kann die Beschwerdeführerin bei der Vorinstanz unter Vor­lage entsprechender Atteste medizinische Rückkehrhilfe beantragen (Art. 93 Abs. 1 Bst. d AsylG i.V.m. Art. 75 der Asylverordnung 2 vom 11. August 1999 über Finanzierungsfragen [AsylV 2, SR 142.312]), womit sie in einer ersten Phase nach ihrer Rückkehr hinsichtlich der Organisation der medizini­schen Behandlung nicht vor unüberwindbare Schwierigkeiten ge­stellt ist. Insgesamt ist nach dem Gesagten nicht davon auszugehen, die ge­sundheitlichen Probleme der Beschwerdeführerin würden im Falle des Vollzugs der Wegweisung mangels in C._______ ausreichender medizini­scher Behandlungsmöglich­keiten eine drastische, andauernde und lebens­bedrohende Verschlech­terung ihres Gesundheitszustandes nach sich ziehen.</w:t>
      </w:r>
    </w:p>
    <w:p>
      <w:r>
        <w:rPr>
          <w:b/>
        </w:rPr>
        <w:t>E. 8.4.5</w:t>
      </w:r>
    </w:p>
    <w:p>
      <w:r>
        <w:t>Der Beschwerdeführer kann als junger und offenbar gesunder Mann zusammen mit seiner Mutter zurückkehren. Diese akzeptiert offen­bar auch die von ihm geäusserte Homosexualität. Zwar wird eine Gefährdung wegen seiner sexuellen Orientierung durch Verwandte geltend gemacht. Diesbezüglich bleibt die Eingabe jedoch sehr allgemein und vage. Die diesbezüglich in Aussicht gestellten Beweismittel wurden sodann trotz ausdrücklichem Verweis auf Art. 32 Abs. 2 VwVG nicht nachgereicht. Es ist daher nicht glaubhaft, dass der Beschwerdeführer wegen seiner sexuellen Orientierung seitens seiner Verwandten ernsthafte Übergriffe zu befürchten hätte. Die allgemeine Situation in der Türkei für Homosexuelle ist zwar nicht mit derjenigen in der Schweiz zu vergleichen, aber auch nicht derart, als dass sie den Vollzug der Wegweisung als generell unzumutbar erscheinen lassen würde (vgl. D-6976/2009). Eine gesetzliche Diskriminierung von Homosexuellen in der Türkei gibt es nicht.</w:t>
      </w:r>
    </w:p>
    <w:p>
      <w:r>
        <w:rPr>
          <w:b/>
        </w:rPr>
        <w:t>E. 8.4.6</w:t>
      </w:r>
    </w:p>
    <w:p>
      <w:r>
        <w:t>Nach dem Gesagten erweist sich der Vollzug der Wegweisung für die Beschwerdeführenden als zumutbar. In diesem Zusammenhang ist darauf hinzuweisen, dass der langjährige Aufenthalt der Beschwerdeführenden in der Schweiz, insbesondere des Beschwerdeführers, der seit seinem 13. Lebensjahr hier lebt und damit seine prägenden Jugendjahre hier verbracht hat, seit der Gesetzesänderung im Jahr 2007 nicht mehr im Rahmen des Asyl- und Wegweisungsverfahrens berücksichtigt werden kann. Nach geltendem Recht ist es nun dem Kanton vorbehalten, mit Zustimmung des Bundesamtes einer ihm nach Gesetz zugewiesenen Person eine Aufenthaltsbewilligung zu erteilen, wenn wegen der fortgeschrittenen Integration ein schwerwiegender persönlicher Härtefall vorliegt (vgl. Art. 14 Abs. 2 Bst. c AsylG).</w:t>
      </w:r>
    </w:p>
    <w:p>
      <w:r>
        <w:rPr>
          <w:b/>
        </w:rPr>
        <w:t>E. 8.5</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8.6</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grund­sätzlich den Beschwerdeführenden aufzuerlegen (Art. 63 Abs. 1 VwVG). Sie werden in­des nicht erhoben (Art. 63 Abs. 1 in fine VwVG Art. 6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