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D-6437/2013 vom 27. November 2013</w:t>
      </w:r>
    </w:p>
    <w:p>
      <w:r>
        <w:t>Bundesverwaltungsgericht, 2013-11-27, DE</w:t>
      </w:r>
    </w:p>
    <w:p>
      <w:r>
        <w:rPr>
          <w:b/>
        </w:rPr>
        <w:t xml:space="preserve">Quelle: </w:t>
      </w:r>
      <w:r>
        <w:t>https://mcp.opencaselaw.ch/entscheid/bvger_D-6437_2013</w:t>
      </w:r>
    </w:p>
    <w:p>
      <w:r>
        <w:t>FR: TAF D-6437/2013 du 27 novembre 2013</w:t>
      </w:r>
    </w:p>
    <w:p>
      <w:r>
        <w:t>IT: TAF D-6437/2013 del 27 novembre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des Asylgesetzes vom 26. Juni 1998 [AsylG, SR 142.31]; Art. 83 Bst. d Ziff. 1 des Bundesgerichtsgesetzes vom 17. Juni 2005 [BGG, SR 173.110]).</w:t>
      </w:r>
    </w:p>
    <w:p>
      <w:r>
        <w:rPr>
          <w:b/>
        </w:rPr>
        <w:t>E. 1.2</w:t>
      </w:r>
    </w:p>
    <w:p>
      <w:r>
        <w:t>Die Beschwerde ist (abgesehen von der Sprache)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das BFM richtig ausführte, ist der israelische Staat als grundsätzlich schutzfähig und schutzwillig zu bezeichnen. Der Beschwerdeführerin ist es weder anlässlich der Anhörungen noch in der Beschwerdeschrift gelungen, Anhaltspunkte zu liefern, welche gegen eine effektive Schutzgewährung sprechen. Es bliebt ohnehin unklar, worin genau die Verfolgung konkret bestanden habe. Die Schilderungen erwecken überdies den Eindruck, dass die subjektiven Empfindungen der Beschwerdeführerin auf eine verzerrte Wahrnehmung der objektiven Geschehnisse zurückzuführen sind. Objektiv betrachtet lassen sich keine Anhaltspunkte eruieren, die auf eine Verfolgung schliessen lassen. Es bestehen insbesondere keine Hinweise dafür, dass und wieso der (...), C._______, ein Interesse an der Beschwerdeführerin haben könnte.</w:t>
      </w:r>
    </w:p>
    <w:p>
      <w:r>
        <w:rPr>
          <w:b/>
        </w:rPr>
        <w:t>E. 5.2</w:t>
      </w:r>
    </w:p>
    <w:p>
      <w:r>
        <w:t>Somit hat das BFM zu Recht die Flüchtlingseigenschaft der Beschwerdeführerin verneint und ihr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Wie bereits das BFM zutreffend ausführte, sprechen weder die allgemeine Lage in Israel noch individuelle Gründe gegen die Zumutbarkeit des Wegweisungsvollzugs, womit sich dieser als zumutbar erweist.</w:t>
      </w:r>
    </w:p>
    <w:p>
      <w:r>
        <w:rPr>
          <w:b/>
        </w:rPr>
        <w:t>E. 7.6</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 9.1 Das mit der Beschwerde gestellte Gesuch um Gewährung der unentgeltlichen Rechtspflege im Sinne von Art. 65 Abs. 1 VwVG ist abzuweisen, da die Begehren - wie sich aus den vorstehenden Erwägungen ergibt - als aussichtlos zu bezeichnen waren, weshalb die Voraussetzungen für die Gewährung der unentgeltlichen Rechtspflege nicht erfüllt sind. 9.2 Somit sind die Kosten des Verfahrens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