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D-6436/2009 vom 31. März 2010</w:t>
      </w:r>
    </w:p>
    <w:p>
      <w:r>
        <w:t>Bundesverwaltungsgericht, 2010-03-31, DE</w:t>
      </w:r>
    </w:p>
    <w:p>
      <w:r>
        <w:rPr>
          <w:b/>
        </w:rPr>
        <w:t xml:space="preserve">Quelle: </w:t>
      </w:r>
      <w:r>
        <w:t>https://mcp.opencaselaw.ch/entscheid/bvger_D-6436_2009</w:t>
      </w:r>
    </w:p>
    <w:p>
      <w:r>
        <w:t>FR: TAF D-6436/2009 du 31 mars 2010</w:t>
      </w:r>
    </w:p>
    <w:p>
      <w:r>
        <w:t>IT: TAF D-6436/2009 del 31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2. Aufl., Basel/Bern/Lausanne 2009, Rz. 11.17 und 11.18).</w:t>
      </w:r>
    </w:p>
    <w:p>
      <w:r>
        <w:rPr>
          <w:b/>
        </w:rPr>
        <w:t>E. 4.2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4.3</w:t>
      </w:r>
    </w:p>
    <w:p>
      <w:r>
        <w:t>In ihrer Beschwerde vom 3. Februar 2009 bringen die Beschwerdeführer vor, dass sie aus G._______, H._______ im Kosovo stammten. Dabei handle es sich um eine Enklave, in der eine Minderheit von ca. 50 bis 100 Serben inmitten eines sonst albanisch besiedelten Gebietes leben würden. Die serbische Minderheit werde von der albanischen Bevölkerung bedroht und müsse in ständiger Angst um Leib und Leben ausharren. Aufgrund der Zugehörigkeit des Beschwerdeführers (A._______) zur serbisch-orthodoxen Kirche werde er zusätzlich verfolgt. Im abweisenden Asylentscheid werde diese Situation nicht berücksichtigt, obwohl sie für den Entscheid von grosser Bedeutung sei. Es sei den Beschwerdeführenden nicht zumutbar in einer ständigen Gefährdungslage zu leben. Sie würden verfolgt und unter psychischen Druck gestellt und müssten sowohl um ihr eigenes Leben, als auch um dasjenige ihrer Familienmitglieder fürchten.</w:t>
      </w:r>
    </w:p>
    <w:p>
      <w:r>
        <w:rPr>
          <w:b/>
        </w:rPr>
        <w:t>E. 4.4</w:t>
      </w:r>
    </w:p>
    <w:p>
      <w:r>
        <w:t>Die Beschwerdeführenden bezeichnen sich allesamt als serbische Staatsangehörige (vgl. A1-A4, jeweils S. 1). Die Beschwerdeführenden gaben weiter zu Protokoll, dass ihnen serbische Pässe ausgestellt worden seien (vgl. A1-A4, jeweils S. 3), sie diese jedoch gemäss Rat des Schleppers zu Hause gelassen hätten (vgl. A1, S. 4 und A2, S. 3) und es schwierig sei, diese nachzureichen (vgl. A1, S. 5). Zudem haben sowohl der Beschwerdeführer (A._______) wie auch die Beschwerdeführerin (B._______) einen UNMIK-Ausweis (vgl. A12, S. 3, beziehungsweise A14, S. 7) sowie zwei ihrer Töchter (C._______ und D._______) jugoslawische Identitätspapiere zu den Akten gereicht (vgl. A15 und A16, jeweils S. 1). Die Republik Kosovo, deren Staatsangehörigkeit die Beschwerdeführenden ebenfalls besitzen dürften, aberkennt beziehungsweise verweigert Angehörigen anderer Staaten die kosovarische Staatsangehörigkeit nicht. Serbien anerkennt die Republik Kosovo nicht als Staat und betrachtet damit die Staatsangehörigen des Kosovos grundsätzlich als serbische Staatsangehörige. Die Beschwerdeführenden können sich demnach nach Serbien begeben, wo sie aufgrund der Niederlassungsfreiheit Wohnsitz nehmen können und ihnen allenfalls auch neue serbische Identitätspapiere ausgestellt würden. Asylsuchende, die mehrere Staatsangehörigkeiten besitzen, sind nicht auf den Schutz eines Drittstaates angewiesen, sofern sie in einem der Staaten, dessen Staatsangehörigkeit sie besitzen, Schutz vor Verfolgung finden können. Es bestehen vorliegend keinerlei Anhaltspunkte dafür, dass den Beschwerdeführenden in Serbien asylrechtlich relevante Verfolgung droht, weshalb sie des Schutzes durch die Schweiz nicht bedürfen.</w:t>
      </w:r>
    </w:p>
    <w:p>
      <w:r>
        <w:rPr>
          <w:b/>
        </w:rPr>
        <w:t>E. 4.5</w:t>
      </w:r>
    </w:p>
    <w:p>
      <w:r>
        <w:t>Angesichts der aufgezeigten Sachlage erübrigt es sich, auf die weiteren Ausführungen in der Beschwerde im Einzelnen einzugehen, da diese nicht geeignet sind, zu einer anderen rechtlichen Würdigung der Aktenlage zu führen. In Würdigung der gesamten Umstände ist somit festzustellen, dass die Beschwerdeführenden einen flüchtlingsrechtlich bedeutsamen Sachverhalt weder nachgewiesen noch glaubhaft gemacht haben. Die Feststellung des BFM, die Beschwerdeführenden erfüllten die Flüchtlingseigenschaft nicht, ist dementsprechend zu bestätigen. Das BFM hat ihr Asylgesuch somit zu Recht und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ihren Heimatstaat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 Die Beschwerdeführenden haben sich vor ihrer Ausreise aus dem Kosovo schon mehrfach in Serbien beziehungsweise in I._______ überwiegend zu Besuchszwecken aufgehalten (vgl. beispielsweise A12, S. 5). Sie haben jedoch anlässlich ihrer Anhörungen nicht geltend gemacht, in Serbien verfolgt oder anderweitig ernsthaft benachteiligt worden zu sein.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In Serbien besteht keine Situation generalisierter Gewalt, die sich über das ganze Staatsgebiet oder weite Teile desselben erstrecken würde. Der Vollzug der Wegweisung von ethnischen Serben mit letztem Wohnsitz in Kosovo nach Serbien ist deshalb grundsätzlich zumutbar. Es bestehen zudem auch keine individuellen Gründe wirtschaftlicher, sozialer oder gesundheitlicher Natur die darauf hinwiesen, dass die Beschwerdeführenden in Serbien in eine existenzbedrohende Situation geraten könnten. Sowohl der Beschwerdeführer (A._______) als auch die Beschwerdeführerin (B._______) verfügen über eine überdurchschnittliche Schulbildung (vgl. A12, S. 3 sowie A14, S. 1) und konnten sich ihren Lebensunterhalt für die gesamte Familie mit dem Betrieb eines Lebensmittelladens in ihrem Heimatdorf verdienen (vgl. A1, S. 2 sowie A12, S. 4). Zudem weist der Beschwerdeführer verschiedene andere berufliche Erfahrungen und Qualifikationen auf, die er von 1987 bis 2006 - bevor er im Lebensmittelgeschäft seiner Frau tätig wurde - ausgeübt hat (vgl. A12, S. 4). Überdies verfügt der Beschwerdeführer in seinem Heimatdorf über ein eigenes Wohnhaus und ein landwirtschaftliches Grundstück mit einer Fläche von 50 Aren. Den Wert des Hauses gibt er mit zirka 100'000 Euro an (vgl. A12, S. 4). Bei einem Umzug der Familie nach Serbien steht es den Beschwerdeführenden somit frei, sowohl das Haus als auch das landwirtschaftliche Grundstück zu verkaufen, um sich mit den generierten Einnahmen ihren Lebensunterhalt zumindest in einer Anfangsphase sicherzustellen. Die beiden älteren Töchter C._______ und D._______ können ihre schulischen beziehungsweise beruflichen Ausbildungen in Serbien fortsetzen. Während der Anhörung gab C._______ zu Protokoll, dass sie sich eine Zukunft in Serbien vorstellen könnte. Auch für die beiden jüngeren Kinder E._______ und F._______ dürfte die Integration in Serbien mit Unterstützung der übrigen Familienangehörigen keine Probleme darstellen. Auch sie können ihre Schulbildung in Serbien fortsetzen. Überdies hat die Beschwerdeführerin (B._______) Verwandte in Serbien. Ein Bruder und eine Schwester leben in I._______ (vgl. A2, S. 3 beziehungsweise A14, S. 1), die Mutter, zwei Brüder und eine Schwester in L._______ (vgl. A14, S. 2). Somit verfügen die Beschwerdeführenden in Serbien auch über ein familiäres Beziehungsnetz. Aus den Akten sind zudem keine Anhaltspunkte betreffend gesundheitliche Probleme der Beschwerdeführenden zu entnehmen. Der Vollzug der Wegweisung nach Serbien ist somit aufgrund des Gesagten auch unter individuellen Gesichtspunkten nicht als unzumutbar zu beurteilen.</w:t>
      </w:r>
    </w:p>
    <w:p>
      <w:r>
        <w:rPr>
          <w:b/>
        </w:rPr>
        <w:t>E. 6.5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dessen Kosten den Beschwerdeführenden aufzuerlegen (Art. 63 Abs. 1 und 5 VwVG). Da die Rechtsbegehren der Beschwerdeführenden als nicht aussichtslos zu erachten waren, hiess der Instruktionsrichter des Bundesverwaltungsgerichts mit Verfügung vom 16. Oktober 2009 das Gesuch der Beschwerdeführenden um Gewährung der unentgeltlichen Rechtspflege - unter Vorbehalt einer nachträglichen Veränderung der finanziellen Verhältnisse der Beschwerdeführenden - gut und verzichtete in der Folge auf die Erhebung eines Kostenvorschusses. Gemäss Akten ist nicht davon auszugehen, dass sich die finanzielle Situation der nicht erwerbstätigen Beschwerdeführenden in der Zwischenzeit verbessert hätte. Es sind demnach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