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D-6431/2019 vom 16. März 2020</w:t>
      </w:r>
    </w:p>
    <w:p>
      <w:r>
        <w:t>Bundesverwaltungsgericht, 2020-03-16, DE</w:t>
      </w:r>
    </w:p>
    <w:p>
      <w:r>
        <w:rPr>
          <w:b/>
        </w:rPr>
        <w:t xml:space="preserve">Quelle: </w:t>
      </w:r>
      <w:r>
        <w:t>https://mcp.opencaselaw.ch/entscheid/bvger_D-6431_2019</w:t>
      </w:r>
    </w:p>
    <w:p>
      <w:r>
        <w:t>FR: TAF D-6431/2019 du 16 mars 2020</w:t>
      </w:r>
    </w:p>
    <w:p>
      <w:r>
        <w:t>IT: TAF D-6431/2019 del 16 marzo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Eine asylsuchende Person erfüllt die Flüchtlingseigenschaft gemäss Art. 3 AsylG, wenn sie Nachteile von bestimmter Intensität erlitten hat beziehungsweise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Massgeblich für die Beurteilung der Flüchtlingseigenschaft ist die Situation im Zeitpunkt des Asylentscheids. Die Gewährung des Asyls kann nicht dazu dienen, einen Ausgleich für vergangenes Unrecht zu schaffen, sondern bezweckt, Schutz vor künftiger Verfolgung zu gewähren (vgl. BVGE 2008/4 E. 5.4).</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Gesuchstellenden sprechen, bei einer objektivierten Sichtweise überwiegen oder nicht (vgl. BVGE 2015/3 E. 6.5.1, 2013/11 E. 5.1, 2012/5 E. 2.2).</w:t>
      </w:r>
    </w:p>
    <w:p>
      <w:r>
        <w:rPr>
          <w:b/>
        </w:rPr>
        <w:t>E. 5.1</w:t>
      </w:r>
    </w:p>
    <w:p>
      <w:r>
        <w:t>Das SEM erachtete die Vorbringen der Beschwerdeführerin als den Anforderungen an die Flüchtlingseigenschaft gemäss Art. 3 AsylG nicht genügend. Dieser Einschätzung ist im Ergebnis beizupflichten (vgl. auch nach nachfolgend E. 5.2 - 5.3). Den Rechtsmitteleingaben vom 4. und 16. Dezember 2019 sind keine stichhaltigen Entgegnungen zu entnehmen. Der Beschwerdeführerin wurde bereits mit Zwischenverfügung vom 13. Februar 2020 dargelegt, weshalb ihre Beschwerdevorbringen keine Änderung in der Frage der Flüchtlingseigenschaft und des Asyls zu bewirken vermögen. Seither wurde keine Veränderung der Sachlage dargetan, so dass ebenfalls auf die Ausführungen in der besagten Zwischenverfügung verwiesen werden kann.</w:t>
      </w:r>
    </w:p>
    <w:p>
      <w:r>
        <w:rPr>
          <w:b/>
        </w:rPr>
        <w:t>E. 5.2</w:t>
      </w:r>
    </w:p>
    <w:p>
      <w:r>
        <w:t>Das Bundesverwaltungsgericht gelangt in Übereinstimmung mit der Vorinstanz zum Schluss, dass die Beschwerdeführerin mit ihren Vorbringen die Flüchtlingseigenschaft gemäss Art. 3 AsylG nicht zu begründen vermag.</w:t>
      </w:r>
    </w:p>
    <w:p>
      <w:r>
        <w:rPr>
          <w:b/>
        </w:rPr>
        <w:t>E. 5.2.1</w:t>
      </w:r>
    </w:p>
    <w:p>
      <w:r>
        <w:t>Aufgrund der Aktenlage besteht kein begründeter Anlass zur Annahme, die Beschwerdeführerin wäre im Zeitpunkt ihrer Ausreise aus Syrien anfangs 2014 wegen Versuchen des Regimes und der PKK zur Rekrutierung der Kinder, der kurzzeitigen Festhaltung eines Sohnes durch die Jabhat al-Nusra, ihrer dreimaligen Teilnahme an Kundgebungen oder aufgrund ihrer Ethnie einer gezielt gegen sie gerichteten asyl- respektive flüchtlingsrechtlich relevanten (Reflex-)Verfolgung gemäss Art. 3 AsylG ausgesetzt gewesen, oder hätte eine solche in absehbarer Zukunft in objektiver Weise zu befürchten gehabt.</w:t>
      </w:r>
    </w:p>
    <w:p>
      <w:r>
        <w:rPr>
          <w:b/>
        </w:rPr>
        <w:t>E. 5.2.2</w:t>
      </w:r>
    </w:p>
    <w:p>
      <w:r>
        <w:t>Der über (...) Jahre zurückliegende Tod des Ehemannes steht nicht in einem zeitlichen Kausalzusammenhang zur erst im Jahr 2014 erfolgten Ausreise der Beschwerdeführerin aus Syrien. Zudem dient das Asyl, wie zuvor ausgeführt (vgl. E. 4.1), nicht dem Ausgleich für vergangenes Unrecht, sondern der Gewährung von Schutz vor künftiger Verfolgung (vgl. BVGE 2008/4 E. 5.4). Die Nachfragen der syrischen Behörden bei der Beschwerdeführerin nach dem Aufenthaltsort der teils seit Jahrzehnten im Ausland wohnhaften Kinder im Hinblick auf die Rekrutierung derselben nach Ausbruch des Bürgerkriegs vermögen mangels flüchtlingsrechtlicher Intensität gemäss Art. 3 AsylG keine Asylrelevanz zu entfalten. Auch hinsichtlich der Versuche der PKK zur Rekrutierung der Kinder und der kurzzeitigen Festhaltung eines Sohnes durch die Jabhat al-Nusra lässt sich allein aus der Verwandtschaft nicht automatisch auf eine gezielte Bedrohungslage für die Beschwerdeführerin folgern. Bezüglich der Teilnahme an drei Demonstrationen in B._______, die von Kameras gefilmt worden seien, vermochte die Beschwerdeführerin nicht darzulegen, dass sie wegen dieser niederschwelligen Aktivität persönlich ins Visier der syrischen Behörden geraten und als ernstzunehmende Gegnerin des Regimes namentlich identifiziert und registriert worden wäre. Sie machte nicht geltend, diesbezüglich vor ihrer Ausreise Probleme mit den syrischen Behörden gehabt zu haben, und für eine begründete Furcht vor zukünftiger Verfolgung müssten hinreichende Anhaltspunkte für eine konkrete, individuelle Bedrohung vorhanden sein, die auf einer objektiven Betrachtungsweise und nicht einem subjektiven Empfinden des Betroffenen oder Vermutungen fussen. Solche Anhaltspunkte sind vorliegend nicht auszumachen. Aufgrund der Aktenlage besteht kein begründeter Anlass zur Annahme, dass die Beschwerdeführerin bei einer allfälligen Rückkehr als Regimekritikerin erachtet würde oder auf einer Fahndungsliste der syrischen Behörden aufgeführt sein könnte, zumal ihr Pass von den syrischen Behörden im (...) und somit nach den besagten Demonstrationsteilnahmen erneuert wurde.</w:t>
      </w:r>
    </w:p>
    <w:p>
      <w:r>
        <w:rPr>
          <w:b/>
        </w:rPr>
        <w:t>E. 5.2.3</w:t>
      </w:r>
    </w:p>
    <w:p>
      <w:r>
        <w:t>Auch aus den weiteren, im Zusammenhang mit der Bürgerkriegssituation in Syrien stehenden Vorbringen der Beschwerdeführerin (Angst, prekäre Lebensbedingungen) kann nicht auf eine gezielte, individuelle Verfolgung der Beschwerdeführerin im Sinne von Art. 3 AsylG geschlossen werden. Die Beschwerdeführerin wurde zweifelsohne hart von den Auswirkungen des Bürgerkriegs getroffen und sah sich gezwungen, ihren Wohnort nach Bombardements im Alter von damals schon fast (...) Jahren zu verlassen und an einem anderen Ort Zuflucht zu suchen. Indes vermag das von ihr Erlebte, so tragisch es ist, keine Asylrelevanz zu entfalten. Die Zuerkennung der Flüchtlingseigenschaft erfordert nach schweizerischer Rechtsprechung den gezielten, auf die betreffende Person individuell fokussierten Willen des Verfolgers, diese bestimmte Person unmittelbar ernsthaften Nachteilen im Sinne des Gesetzes zu unterwerfen. Aus den besagten Vorbringen der Beschwerdeführerin kann nicht auf eine solche gezielte, individuelle Verfolgung ihrer Person im Sinne von Art. 3 AsylG geschlossen werden. Entgegen der von ihr in den Rechtsmitteleingaben geäusserten Ansicht genügt ihre kurdische Ethnie allein nicht, um eine flüchtlingsrechtlich relevante individuelle Verfolgung anzunehmen. Gemäss geltender Rechtsprechung ist nicht davon auszugehen, dass syrische Staatsangehörige kurdischer Ethnie im heutigen Zeitpunkt in besonderer und gezielter Weise aufgrund ihrer Ethnie in einem derart breiten und umfassenden Ausmass unter Anfeindungen zu leiden hätten, dass von einer Kollektivverfolgung ausgegangen werden müsste. Auch unter dem Gesichtspunkt der heute veränderten Lage, insbesondere seit dem Einmarsch der türkischen Truppen in Nordsyrien, ist nicht davon auszugehen, dass sämtliche in Syrien und insbesondere in Nordsyrien verbliebenen Kurden derzeit eine objektiv begründete Furcht vor einer Verfolgung hätten (vgl. bspw. Urteile des BVGer E-937/2017 vom 16. Januar 2020 E. 6.3, D-5367/2019 vom 2. Dezember 2019 E. 6.4). Der bürgerkriegsbedingten Gefährdungslage und der fortbestehenden Volatilität und Dynamik der Entwicklung in Syrien wurde von der Vorinstanz in Rahmen des Wegweisungsvollzugs respektive der in diesem Zusammenhang angeordneten vorläufigen Aufnahme der Beschwerdeführerin Rechnung getragen.</w:t>
      </w:r>
    </w:p>
    <w:p>
      <w:r>
        <w:rPr>
          <w:b/>
        </w:rPr>
        <w:t>E. 5.3</w:t>
      </w:r>
    </w:p>
    <w:p>
      <w:r>
        <w:t>Zusammenfassend ist es der Beschwerdeführerin nicht gelungen, nachzuweisen oder zumindest glaubhaft zu machen, im Zeitpunkt ihrer Ausreise aus Syrien anfangs 2014 asyl- respektive flüchtlingsrechtlich relevanter Verfolgung seitens der syrischen Behörden, der PKK oder der Jabhat al-Nusra gemäss Art. 3 AsylG ausgesetzt gewesen zu sein. Konkrete Anhaltspunkte für eine objektiv begründete Furcht vor einer künftigen gezielten (Reflex-)Verfolgung der Beschwerdeführerin asylbeachtlichen Ausmasses im Sinne von Art. 3 AsylG durch die syrischen Behörden oder Drittpersonen liegen aufgrund der Aktenlage ebenfalls nicht vor. Das SEM hat demnach die Flüchtlingseigenschaft zu Recht verneint und das Asylgesuch der Beschwerdeführerin zutreffend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Die Beschwerdeführerin verfügt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Nachdem das SEM in seiner Verfügung vom 22. November 2019 die vorläufige Aufnahme der Beschwerdeführerin in der Schweiz angeordnet hat, erübrigen sich praxisgemäss weitere Ausführungen zur Zulässigkeit, Zumutbarkeit und Möglichkeit des Wegweisungsvollzugs. Mit dem vorliegenden Entscheid tritt die vorläufige Aufnahme formell in Kraft. Präzisierend ist lediglich festzuhalten, dass sich aus den vorstehenden Erwägungen nicht der Schluss ergibt, die Beschwerdeführerin sei zum heutigen Zeitpunkt in ihrem Heimatstaat nicht gefährdet. Eine solche Gefährdungslage ist jedoch auf die in Syrien immer noch herrschende Bürgerkriegssituation zurückzuführen. Das SEM hat dieser generellen Gefährdung mit der vorläufigen Aufnahme der Beschwerdeführerin wegen Unzumutbarkeit des Wegweisungsvollzugs Rechnung getragen.</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Der einbezahlte Kostenvorschuss ist zur Begleichung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