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D-6427/2014 vom 18. November 2014</w:t>
      </w:r>
    </w:p>
    <w:p>
      <w:r>
        <w:t>Bundesverwaltungsgericht, 2014-11-18, DE</w:t>
      </w:r>
    </w:p>
    <w:p>
      <w:r>
        <w:rPr>
          <w:b/>
        </w:rPr>
        <w:t xml:space="preserve">Quelle: </w:t>
      </w:r>
      <w:r>
        <w:t>https://mcp.opencaselaw.ch/entscheid/bvger_D-6427_2014</w:t>
      </w:r>
    </w:p>
    <w:p>
      <w:r>
        <w:t>FR: TAF D-6427/2014 du 18 novembre 2014</w:t>
      </w:r>
    </w:p>
    <w:p>
      <w:r>
        <w:t>IT: TAF D-6427/2014 del 18 novembre 2014</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 Aufgrund der Zuweisung des Beschwerdeführers in die Testphase des Verfahrenszentrums in G._______ kommt die Verordnung vom 4. Sep­tem­ber 2013 über die Durchführung von Testphasen zu den Beschleunigungsmassnahmen im Asylbereich (TestV, SR 142.318.1) zur Anwendung (Art. 1 und Art. 4 Abs. 1 TestV).</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Art. 38 TestV, i.V.m. Art. 112b Abs. 3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In der Beschwerde wird in formeller Hinsicht gerügt, der Sachverhalt sei ungenügend erstellt worden, da die Ausführungen in der Stellungnahme unzureichend gewürdigt sowie einige klare Anmerkungen offensichtlich falsch verstanden worden seien. Es werfe Zweifel auf, ob das BFM die eingereichte Stellungnahme in genügender Weise berücksichtigt und gewertet habe. Das BFM sei in seiner Verfügung fälschlicherweise davon ausgegangen, dass es sich bei der H._______ um eine Unterorganisation der Hamas handle. Auf diesen Fehler sei das BFM in der Stellungnahme aufmerksam gemacht worden, dieses sei jedoch davon ausgegangen, dass in der Stellungnahme auf den Unterschied zwischen einem Zweig und Unterorganisation hingewiesen werden sollte. Es gehe jedoch um den Hinweis, dass die H._______ eine Unterorganisation der Fatah sei und nicht der Hamas. Auch bezüglich der Beschaffung des Originaldokuments sei die Stellungnahme nicht richtig zitiert worden, da darin nicht stehe, es sei nicht möglich, das Original einzureichen, sondern dass es dem Beschwerdeführer bis zum jetzigen Zeitpunkt nicht möglich gewesen sei, das Dokument zu beschaffen. Weiter sei die in der Stellungnahme aufgeführte Feststellung, dass der Beschwerdeführer seine Tätigkeiten nicht als politisch einstufe, diese aber von der Hamas als politisches Engagement und als störend angesehen würden, nicht gewertet worden.</w:t>
      </w:r>
    </w:p>
    <w:p>
      <w:r>
        <w:rPr>
          <w:b/>
        </w:rPr>
        <w:t>E. 3.2</w:t>
      </w:r>
    </w:p>
    <w:p>
      <w:r>
        <w:t>Der Vorwurf, das BFM habe den Sachverhalt falsch festgestellt, ist vorab zu prüfen, da er im Bejahungsfall geeignet wäre, eine Kassation der vorinstanzlichen Verfügung zu bewirken. Diesbezüglich gilt es festzuhalten, dass es sich bei der in der Verfügung des BFM enthaltenen Formulierung, der Beschwerdeführer habe angegeben, die H._______ sei ein Zweig der Hamas, um ein Kanzleiversehen handeln dürfte, was auch aus der Begründung des BFM in seiner Verfügung ersichtlich ist. Denn die Vorinstanz ging in der Folge auf die vorgebrachten Auseinandersetzungen zwischen Fatah und Hamas ein, was nicht der Fall gewesen wäre, wenn das BFM die H._______ als Zweig der Hamas betrachtet hätte. Dieses Kanzleiversehen änderte nichts am Ergebnis der Verfügung, ebenso wenig das Aufführen in der Verfügung bezüglich der Nichtbeschaffung des Originals der Fatah-Bestätigung (vgl. dazu nachfolgend E. 6.1). Die Rüge, die Vorinstanz habe die in der Stellungnahme enthaltene Feststellung, dass der Beschwerdeführer seine Tätigkeiten nicht als politisch einstufe, diese aber von der Hamas als politisches Engagement und als störend angesehen würden, nicht gewertet, betrifft die rechtliche Würdigung des Sachverhalts. Diesbezüglich ist festzuhalten, dass sich das Bundesamt nicht mit jeder tatbeständlichen Behauptung und jedem rechtlichen Einwand auseinanderzusetzen hat, sondern sich auf die wesentlichen Gesichtspunkte beschränken darf. Die formelle Rüge erweist sich somit als unbegründet, weshalb keine Veranlassung besteht, die Sache dem BFM zur vollständigen und richtigen Abklärung sowie Feststellung des Sachverhalts und zur Neubeurteilung zurückzuweisen.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Den Erwägungen des BFM wurde in der Beschwerdeschrift neben allgemeinen Ausführungen zur Glaubhaftigkeit, Wiederholungen der Gesuchsgründe sowie Zitaten aus Aussagen des Beschwerdeführers in der Anhörung im Wesentlichen entgegnet, dass sich dieser nie widersprochen habe. In Bezug auf die verteilten Flugblätter könne davon ausgegangen werden, dass auf diesen Flugblättern nicht zwangsläufig der Name des Verfassers aufgeführt gewesen sei, weshalb es durchaus verständlich sei, dass er nicht wisse, wer diese Flugblätter verfasst habe. Das BFM habe es unterlassen, auch diejenigen Aussagen des Beschwerdeführers zu werten, welche für die Glaubhaftigkeit seiner Ausführungen sprechen würden. So habe er beispielsweise die (...) Verantwortlichen der Gruppe H._______ nennen können, auch habe er erzählt, dass diese Personen Probleme mit den Hamas-Behörden gehabt hätten. Er sei auch in der Lage gewesen, die Aktivitäten dieser Personen genauer zu umschreiben, sei aber nicht klar befragt worden. Bei der Anhörung habe er die entsprechende Frage zuerst nicht richtig verstanden, worauf sie aber nicht wiederholt worden sei. Der Beschwerdeführer habe die Morddrohung klar und verständlich beschrieben. Es sei plausibel, was die Hamas mit der letzten Drohung (Brief mit Patrone) habe bewirken wollen, nämlich dass der Beschwerdeführer seine Tätigkeiten endgültig einstelle. Er habe den Umstand, dass seine Schulkameraden auch Drohungen erhalten hätten, erst im Gespräch mit der Rechtsvertretung erwähnt, und dies bei der Anhörung nicht vorgebracht, da er nicht danach gefragt worden sei. Für weitere Einzelheiten wird auf die Beschwerdeschrift in den Akten verwiesen.</w:t>
      </w:r>
    </w:p>
    <w:p>
      <w:r>
        <w:rPr>
          <w:b/>
        </w:rPr>
        <w:t>E. 6.1</w:t>
      </w:r>
    </w:p>
    <w:p>
      <w:r>
        <w:t>Das Bundesverwaltungsgericht teilt die Auffassung des BFM, wobei auf dessen Verfügung - mit Ausnahme der Ausführungen betreffend "Unterorganisation der Hamas" - verwiesen werden kann. Die Verfolgungsvorbringen sind ohne jegliche Realkennzeichen, äusserst vage, realitätsfremd, teilweise ausweichend sowie substanzlos und daher unglaubhaft geschildert worden. Der Beschwerdeführer musste denn auch in der Anhörung darauf hingewiesen werden, dass er nicht allgemeine Ausführungen anbringen, sondern darlegen soll, weshalb er selber gefährdet sei. Auch mussten die Fragen teilweise wiederholt werden. Zu seinen zentralen Verfolgungsvorbringen war er nicht im Stande, diese auch nur ansatzweise überzeugend und schlüssig vorzutragen. Auffallend ist auch die Unwissenheit des Beschwerdeführers über seine angeblichen Tätigkeiten bei der H._______. So sollte es ihm entgegen der Ansicht in den Beschwerdevorbringen möglich sein, zumindest im Ansatz Bescheid über den Inhalt jener Dokumente zu wissen, welche er selber verteilte. In der Anhörung auf die Inhalte der von ihm verteilten Berichte angesprochen, führte der Beschwerdeführer lediglich aus, er habe halt nicht alle Berichte gelesen und diese ungefähr einmal im Monat verteilt. In Bezug auf den Vorwurf in der Beschwerdeschrift, das BFM habe es unterlassen, auch diejenigen Aussagen des Beschwerdeführers zu werten, welche für die Glaubhaftigkeit seiner Ausführungen sprechen, ist festzuhalten, dass die Untersuchungspflicht der Behörden ihre Grenzen an der Mitwirkungspflicht eines Gesuchstellers findet (vgl. Art. 8 AsylG), der auch die Substantiierungslast trägt (Art. 7 AsylG), wobei der Beschwerdeführer auf seine Mitwirkungspflicht und die Folgen im Falle der Unterlassung hingewiesen wurde (vgl. act. A28/15 S. 2; act. A13/12 S. 2). So wäre es dem Beschwerdeführer beispielsweise zumutbar gewesen, selber detailliert über die Organisationsstrukturen der H._______ sowie die Probleme der genannten Mitglieder zu berichten. Auch kann ihm zugemutet werden, den Umstand, wonach seine Schulkameraden ebenfalls Morddrohungen erhalten hätten, bereits in der Anhörung anbringen und nicht erst in der Stellungnahme vom 20. Oktober 2014. Dieses Vorbringen wird daher als nachgeschoben qualifiziert. Es ist dem Protokoll nicht zu entnehmen, dass der Beschwerdeführer unrechtmässig unterbrochen wurde oder er nicht hätte frei erzählen können. Aufgrund dieser Ausführungen und insbesondere aufgrund des vagen, ausweichenden und unsubstantiierten Aussageverhaltens des Beschwerdeführers erweisen sich genannte Vorwürfe nicht als stichhaltig. Anzumerken bleibt, dass die eingereichten Beweismittel keine Änderung zu bewirken vermögen. In Bezug auf die eingereichte angebliche Bestätigung der Fatah ist einerseits festzustellen, dass solche Dokumente leicht zu fälschen sind, und anderseits nicht ersichtlich ist, wer die Übersetzung vorgenommen und deren Richtigkeit bestätigt hat. Unbesehen der Authentizität des eingereichten Beweismittels ist festzuhalten, dass - wie bereits das BFM zutreffend ausgeführt hat - die eingereichte Bestätigung der Fatah aufgrund der Unglaubhaftigkeit der Vorbringen des Beschwerdeführers nichts an der oben ausgeführten Einschätzung zu ändern vermag, weshalb auf eine allfällige Einreichung im Original zu einem späteren Zeitpunkt verzichtet werden kann (antizipierte Beweiswürdigung: vgl. BVGE 2008/24 E. 7.2 S. 357; André Moser/Michael Beusch/Lorenz Kneubühler, Prozessieren vor dem Bundesverwaltungsgericht, Basel 2013, S. 208 Rz. 3.144).</w:t>
      </w:r>
    </w:p>
    <w:p>
      <w:r>
        <w:rPr>
          <w:b/>
        </w:rPr>
        <w:t>E. 6.2</w:t>
      </w:r>
    </w:p>
    <w:p>
      <w:r>
        <w:t>Dem Beschwerdeführer ist es demnach nicht gelungen, nachzuweisen oder glaubhaft zu machen, dass er aktuell begründete Furcht vor ernsthaften Nachteilen im Sinne von Art. 3 Abs. 2 AsylG haben müsse. Es erübrigt sich, auf weitere Beschwerdevorbringen oder die beigebrachten Beweismittel detailliert einzugehen, weil sie am Ergebnis nichts ändern können. Auch auf die Asylrelevanz der Vorbringen wird daher nicht näher eingegangen, da diese, wie dargelegt, unglaubhaft sind. Das BFM hat das Asylgesuch zu Recht abgelehnt.</w:t>
      </w:r>
    </w:p>
    <w:p>
      <w:r>
        <w:rPr>
          <w:b/>
        </w:rPr>
        <w:t>E. 7</w:t>
      </w:r>
    </w:p>
    <w:p>
      <w:r>
        <w:t>Lehnt das Bundesamt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Da der Beschwerdeführer ein Palästinenser aus dem Gazastreifen ist und angesichts des Umstandes, dass Palästina von vielen (namentlich westlichen) Staaten, inklusive der Schweiz, völkerrechtlich nicht als unabhängiger Staat erkannt ist, verfügt er nicht über eine palästinensische Staatsangehörigkeit; er dürfte, zumal vom Erwerb der Staatsangehörigkeit eines Drittstaates nichts bekannt ist, in völkerrechtlicher Hinsicht staatenlos sein (vgl. im Einzelnen Lex Takkenberg, The Status of Palestinian Refugees in International Law, Oxford 1998, S. 178 ff.), obwohl seine Staatenlosigkeit bisher noch nicht behördlich festgestellt worden ist.</w:t>
      </w:r>
    </w:p>
    <w:p>
      <w:r>
        <w:rPr>
          <w:b/>
        </w:rPr>
        <w:t>E. 8.2</w:t>
      </w:r>
    </w:p>
    <w:p>
      <w:r>
        <w:t>Auch wenn von der Staatenlosigkeit des Beschwerdeführers ausgegangen wird - und sogar wenn diese behördlich festgestellt wäre - könnte er aus dem Übereinkommen vom 28. September 1954 über die Rechtsstellung der Staatenlosen (SR 0.142.40) kein Anwesenheitsrecht in der Schweiz ableiten. Dieses Übereinkommen regelt die Rechtsstellung der Staatenlosen, gewährt jedoch keine Ansprüche auf Zulassung in ein Land beziehungsweise auf Erteilung einer Aufenthaltsbewilligung; massgeblich ist diesbezüglich das innerstaatliche Recht. In Art. 31 nimmt das Übereinkommen zwar Bezug auf die Ausweisung einer staatenlosen Person; diese Bestimmung setzt indessen einen rechtmässigen Aufenthalt im Gebiet des Signatarstaates voraus und ist auf die Problematik der Wegweisung von Personen ohne Aufenthaltstitel nicht anwendbar (vgl. zum Ganzen Entscheide und Mitteilungen der Schweizerischen Asylrekurskommission [EMARK] 2002 Nr. 23 E. 4e).</w:t>
      </w:r>
    </w:p>
    <w:p>
      <w:r>
        <w:rPr>
          <w:b/>
        </w:rPr>
        <w:t>E. 9.1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Gazastreifen ist demnach unter dem Aspekt von Art. 5 AsylG rechtmässig.</w:t>
      </w:r>
    </w:p>
    <w:p>
      <w:r>
        <w:rPr>
          <w:b/>
        </w:rPr>
        <w:t>E. 9.2.3</w:t>
      </w:r>
    </w:p>
    <w:p>
      <w:r>
        <w:t>Sodann ergeben sich weder aus den Aussagen des Be­schwer­de­führers noch aus den Akten Anhaltspunkte dafür, dass er für den Fall einer Ausschaffung in den Gazastreifen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Gazastreifen lässt den Wegweisungsvollzug zum heutigen Zeitpunkt nicht als unzulässig erscheinen. Nach dem Gesagten ist der Vollzug der Wegweisung sowohl im Sinne der asyl- als auch der völkerrechtlichen Bestimmungen zulässig.</w:t>
      </w:r>
    </w:p>
    <w:p>
      <w:r>
        <w:rPr>
          <w:b/>
        </w:rPr>
        <w:t>E. 9.3.1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9.3.2</w:t>
      </w:r>
    </w:p>
    <w:p>
      <w:r>
        <w:t>Der Beschwerdeführer lässt im Hinblick auf den Wegweisungsvollzug in den Gazastreifen unter Beilage mehrerer Berichte ausführen, jener sei nicht zumutbar. Die Versorgung mit Elektrizität und Wasser sei schlecht, der Wiederaufbau komme schleppend voran und Israel blockiere die Einführung von Baumaterialien. Im Weiteren sei die Situation im Gazastreifen weiterhin kritisch und keineswegs stabil, wobei es immer wieder zu kriegerischen Auseinandersetzungen kommen könne. Die Erfahrungen der Vergangenheit hätten gezeigt, dass im israelisch-paläs­ti­nensischen Konflikt immer wieder Friedens- und Waffenstillstandsabkom­men geschlossen worden seien, welche auch immer wieder gebrochen worden seien. Dazu kämen weitere nachteilige Geschehnisse wie die fortschreitende Siedlungspolitik der Israelis, die gegenseitigen Racheakte sowie die andauernde Blockade des Gazastreifens durch Israel. Es müsse davon ausgegangen werden, dass es zu weiteren kriegerischen Auseinandersetzungen kommen werde. Die humanitäre Situation sei zudem katastrophal. Das Haus der Familie des Beschwerdeführers sei in der Folge der Angriffe durch die israelische Armee stark beschädigt worden, seine Wohnsituation sei nicht gesichert. Für weitere Einzelheiten wird auf die Beschwerde sowie die Stellungnahme in den Akten verwiesen.</w:t>
      </w:r>
    </w:p>
    <w:p>
      <w:r>
        <w:rPr>
          <w:b/>
        </w:rPr>
        <w:t>E. 9.3.3</w:t>
      </w:r>
    </w:p>
    <w:p>
      <w:r>
        <w:t>Wie das BFM in seiner Verfügung ausgeführt hat, sind die Verhältnisse im Gazastreifen zwar seit dem seit 1948 andauernden israelisch-pa­läs­ti­nensischen Konflikt prekär. Die Interventionen der israelischen Streitkräfte zogen grosse Teile der Bevölkerung in Mitleidenschaft. Die seit Ende der 1980er Jahre bestehenden innerpalästinensischen Spannungen zwischen der Fatah und der Hamas bilden einen weiteren Unsicherheitsfaktor. In Übereinstimmung mit der Rechtsprechung des Bundesverwaltungsgerichts kann indessen auch derzeit nicht von einer generellen Unzumutbarkeit für aus dieser Region stammende staatenlose Palästinenser gesprochen werden (vgl. bspw. Urteil des Bundesverwaltungsgerichts E-3488/2012 vom 6. November 2013), da sich an der generellen Beurteilung der Zumutbarkeit auch nach den jüngsten Ereignissen nichts geändert hat. Trotz der zurzeit weiterhin angespannten allgemeinen Sicherheitslage ist nicht davon auszugehen, dass der Beschwerdeführer bei einer Rückkehr in den Gazastreifen einer dadurch bedingten Gefährdung im Sinne von Art. 83 Abs. 4 AuG ausgesetzt wäre, zumal seine Vorbringen bezüglich der angeblichen politischen Tätigkeiten nicht geglaubt werden konnten. Unter Berücksichtigung der unbestritten schwierigen ökonomischen Verhältnissen im Gazastreifen erscheint für den jungen und gesunden Beschwerdeführer, welcher über eine überdurchschnittliche Schulbildung (Matura) verfügt, der Vollzug der Wegweisung als zumutbar. Im Weiteren kann er eigenen Angaben zufolge bei seiner Rückkehr in den Gazastreifen auf ein dichtes familiäres Beziehungsnetz zurückgreifen. So halten sich eigenen Aussagen zufolge nach wie vor seine Eltern, sowie vier ältere und zwei jüngere Geschwister im Gazastreifen auf. Mindestens ein Bruder sowie eine Schwester sind erwerbstätig (Angabe Berufe), weshalb angenommen werden kann, dass diese ihn im Bedarfsfall finanziell unterstützen könnten. Aufgrund der sehr kurzen Abwesenheit aus dem Gazastreifen (Ausreise am 20. Mai 2014) dürfte ihm jedoch die soziale und wirtschaftliche Reintegration auch selber gelingen. Nach dem Gesagten erweist sich der Vollzug der Wegweisung auch als zumutbar.</w:t>
      </w:r>
    </w:p>
    <w:p>
      <w:r>
        <w:rPr>
          <w:b/>
        </w:rPr>
        <w:t>E. 9.4</w:t>
      </w:r>
    </w:p>
    <w:p>
      <w:r>
        <w:t>Schliesslich ist der Vollzug der Wegweisung entgegen der vom Beschwerdeführer vertretenen Ansicht auch als möglich im Sinne von Art. 83 Abs. 2 AuG zu bezeichnen. Wie es sich im Einzelnen mit der Wiedereinreise in den Gazastreifen verhält, braucht indessen an dieser Stelle nicht abschliessend beurteilt zu werden. Die Beschwerdeinstanz auferlegt sich nämlich angesichts der Tatsache, dass die für den Wegweisungsvollzug zuständigen Behörden mit Fragen der technischen Abwicklung einer Ausschaffung besser vertraut sind, eine gewisse Zurückhaltung bei der Prüfung der Möglichkeit des Wegweisungsvollzugs. Im Weiteren obliegt es dem Beschwerdeführer, die für eine Rückkehr notwendigen Reisedokumente zu beschaffen (vgl. dazu Art. 8 Abs. 4 AsylG und BVGE 2008/34 E. 12).</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wären die Kosten dem Beschwer­deführer aufzuerlegen (Art. 63 Abs. 1 und 5 VwVG). Er hat jedoch um unentgeltliche Prozesspflege gemäss Art. 65 Abs. 1 VwVG ersucht. Aufgrund vorliegender Akten muss davon ausgegangen werden, dass er prozessual bedürftig ist. Gleichzeitig müssen die Beschwerdebegehren im Zeitpunkt der Einreichung als nicht aussichtslos bezeichnet werden. Demnach ist das Gesuch um Gewährung der unentgeltlichen Rechtspflege im Sinne von Art. 65 Abs. 1 VwVG gutzuheissen und auf die Erhebung von Verfahrenskosten zu verzichten. Das Gesuch um Verzicht auf die Erhebung eines Kostenvorschusses wird angesichts des vorliegenden Entscheids in der Hauptsache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