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D-6414/2014 vom 17. September 2015</w:t>
      </w:r>
    </w:p>
    <w:p>
      <w:r>
        <w:t>Bundesverwaltungsgericht, 2015-09-17, DE</w:t>
      </w:r>
    </w:p>
    <w:p>
      <w:r>
        <w:rPr>
          <w:b/>
        </w:rPr>
        <w:t xml:space="preserve">Quelle: </w:t>
      </w:r>
      <w:r>
        <w:t>https://mcp.opencaselaw.ch/entscheid/bvger_D-6414_2014</w:t>
      </w:r>
    </w:p>
    <w:p>
      <w:r>
        <w:t>FR: TAF D-6414/2014 du 17 septembre 2015</w:t>
      </w:r>
    </w:p>
    <w:p>
      <w:r>
        <w:t>IT: TAF D-6414/2014 del 17 settembre 2015</w:t>
      </w:r>
    </w:p>
    <w:p>
      <w:pPr>
        <w:pStyle w:val="Heading2"/>
      </w:pPr>
      <w:r>
        <w:t>Regeste</w:t>
      </w:r>
    </w:p>
    <w:p>
      <w:r>
        <w:t>Visum aus humanitären Gründen (VrG)</w:t>
      </w:r>
    </w:p>
    <w:p>
      <w:pPr>
        <w:pStyle w:val="Heading2"/>
      </w:pPr>
      <w:r>
        <w:t>Erwägungen</w:t>
      </w:r>
    </w:p>
    <w:p>
      <w:r>
        <w:rPr>
          <w:b/>
        </w:rPr>
        <w:t>E. 1</w:t>
      </w:r>
    </w:p>
    <w:p>
      <w:r>
        <w:t>1.1 Das Bundesverwaltungsgericht entscheidet unter anderem über Beschwerden gegen Verfügungen beziehungsweise Einspracheentscheide des SEM, mit welchen die Erteilung eines Visums verweigert wird (vgl. Art. 31 und 33 VGG. Im Bereich dieser Materie entscheidet das Bundesverwaltungsgericht endgültig (vgl. Art. 83 Bst. c Ziff. 1 BGG).</w:t>
      </w:r>
    </w:p>
    <w:p>
      <w:r>
        <w:rPr>
          <w:b/>
        </w:rPr>
        <w:t>E. 1.2</w:t>
      </w:r>
    </w:p>
    <w:p>
      <w:r>
        <w:t>Das Verfahren vor dem Bundesverwaltungsgericht richtet sich nach dem VwVG, soweit das VGG nichts anderes bestimmt (Art. 37 VGG).</w:t>
      </w:r>
    </w:p>
    <w:p>
      <w:r>
        <w:rPr>
          <w:b/>
        </w:rPr>
        <w:t>E. 1.3</w:t>
      </w:r>
    </w:p>
    <w:p>
      <w:r>
        <w:t>Der Beschwerdeführer ist zur Beschwerdeführung legitimiert (Art. 48 Abs. 1 VwVG), zumal er als Gastgeber in eigenem Namen gegen die ablehnenden Visa-Entscheide vom 24. Juli 2014 Einsprache erhoben hat und er Adressat der angefochtenen Verfügung ist (vgl. Urteil des Bundesverwaltungsgerichts C-4524/2012 vom 11. März 2014 E. 1.3; vgl. ferner BVGE 2014/1 E. 1.3). Da die Eingabe vom 3. November 2014 frist- und formgerecht eingereicht wurde (Art. 50 und 52 VwVG), ist auf die Beschwerde einzutreten.</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2.2</w:t>
      </w:r>
    </w:p>
    <w:p>
      <w:r>
        <w:t>Vorab ist festzuhalten, dass der Beschwerdeführer keine Übersetzung des eingereichten fremdsprachigen Dokumentes einreichte und zur Vernehmlassung der Vorinstanz keine Replik einreichte. Androhungsgemäss wird deshalb aufgrund der bisherigen Akten entschieden.</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Als syrische Staatsangehörige können sich die Gesuchstellenden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3.3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 April 2006, S. 1-32 [geändert durch Art. 2 der Verordnung {EU} Nr. 265/2010 vom 25. März 2010, ABl. L 85 vom 31. März 2010, S. 1-4];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w:t>
      </w:r>
    </w:p>
    <w:p>
      <w:r>
        <w:t>Die Gesuchstellenden unterliegen als syrische Staatsangehörige gemäss Art. 1 Abs. 1 VO Nr. 539/2001 in Verbindung mit Anhang I einer Visumspflicht für den Schengen-Raum. Aufgrund der gesamten Umstände kann nicht darauf geschlossen werden, dass die Gesuchstellenden nach Ablauf des Visums fristgerecht aus dem Schengen-Raum ausreisen würden. Diesbezüglich ist insbesondere darauf hinzuweisen, dass in der Rechtsmitteleingabe geltend gemacht wurde, eine Ausreise könne nur garantiert werden, wenn sich die Lage in Syrien einigermassen stabilisiert habe. Die Erteilung eines Visums mit Gültigkeit für den gesamten Schengen-Raum fällt daher nicht in Betracht. Der Vollständigkeit halber bleibt anzufügen, dass die Weisung des BFM vom 4. September 2013 betreffend erleichterte Erteilung von Besucher-Visa für syrische Familienangehörige bereits am 29. November 2013 aufgehoben wurde und somit vorliegend keine Anwendung finden kann. Im Übrigen war die Gesuchstellerin zum Zeitpunkt des Gesuchs bereits volljährig, weshalb sie nicht unter die Kernfamilie des Beschwerdeführers fällt. Im Folgenden ist daher einzig noch zu prüfen, ob das BFM auch zu Recht die Erteilung eines Einreisevisums in die Schweiz aus humanitären Gründen abgelehnt hat.</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D-4783/2011 vom 29. Mai 2013 E. 3.2).</w:t>
      </w:r>
    </w:p>
    <w:p>
      <w:r>
        <w:rPr>
          <w:b/>
        </w:rPr>
        <w:t>E. 6.1</w:t>
      </w:r>
    </w:p>
    <w:p>
      <w:r>
        <w:t>Das Bundesverwaltungsgericht gelangt nach Prüfung der Akten zum Schluss, dass vorliegend die Voraussetzungen für die Erteilung humanitärer Visa nicht erfüllt sind. Die entsprechenden Ausführungen in der angefochtenen Verfügung erweisen sich als zutreffend. Die Beschwerdevorbringen sind nicht geeignet, eine Änderung der vorinstanzlichen Einschätzung zu bewirken. Vom Beschwerdeführer wird geltend gemacht, die Situation seiner Angehörigen in der Türkei sei unhaltbar. In seinen diesbezüglichen Ausführungen beruft er sich auf eine angespannte wirtschaftliche Lage, die Überforderung der Türkei wegen der vielen syrischen Flüchtlinge und eine kaum gesicherte Wohnsituation der Gesuchstellenden, sodann verweist er auf eine ungenügende medizinische Versorgung insbesondere auch hinsichtlich der Augenerkrankung der Gesuchstellerin und schliesslich macht er eine insgesamt prekäre Lage geltend. Damit wird jedoch - wie vom BFM zu Recht erkannt - nicht das Vorliegen einer konkreten, unmittelbaren und ernsten Gefährdungslage geltend gemacht, sondern zur Hauptsache auf die schwierigen Lebensbedingungen verwiesen, welche syrische Bürgerkriegsflüchtlinge in der Türkei antreffen können. In diesem Zusammenhang ist das Folgende festzuhalten: Die Zahl der syrischen Flüchtlinge in der Türkei ist gemäss mehreren Berichten auf mittlerweile über 1,5 Mio.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und damit unter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Da vorliegend keine Gründe ersichtlich sind, welche darauf hindeuten würden, die Gesuchstellenden seien unmittelbar, ernsthaft und konkret an Leib und Leben gefährdet, respektive sie würden sich in einer besonderen Notlage befinden, welche ein behördliches Eingreifen zwingend erforderlich erscheinen liesse, vermögen die vom Beschwerdeführer geschilderten Umstände - wie vom BFM zu Recht erkannt - die Erteilung von Visa aus humanitären Gründen nicht zu rechtfertigen. Daran ändern auch die geltend gemachten gesundheitlichen Probleme der Gesuchstellerin nichts. Diesbezüglich ist festzustellen dass die Türkei - insbesondere in den Grossstädten wie Istanbul - über ein gut funktionierendes und zugängliches Gesundheitssystem verfügt. Es wurde nicht substantiiert ausgeführt, weshalb ihr der Zugang zur ärztlichen Versorgung verwehrt sein sollte, vielmehr wurde eine bis heute nicht übersetzte ärztliche Bescheinigung des D._______ (Poliklinik mit einer auf Augenkrankheiten spezialisierten Abteilung) ausgestellt, was auf Zugang zu medizinischer Versorgung schliessen lassen dürfte. Im Übrigen können sie sich an die lokalen Behörden oder die vor Ort tätigen Hilfsorganisationen wenden, sollten sie weitergehende Unterstützung benötigen, oder allenfalls auf ihre im Ausland lebenden Verwandten zurückgreifen. Auch wenn die Lebensumstände der Gesuchstellenden in der Türkei schwierig sein dürften, ist ihre dortige Lage aufgrund des Gesagten nicht dergestalt, dass sie einen weiteren Verbleib in der Türkei gänzlich unzumutbar machen würde. Sie sind in der Türkei keiner akuten Gefährdung ausgesetzt. Das BFM hat daher berechtigterweise befunden, ein Eingreifen seitens der schweizerischen Behörden sei nicht unumgänglich. Daran ändern auch die auf Beschwerdeebene eingereichten Bilder nichts, welchen ohnehin kaum Beweiswert zugesprochen werden dürfte.</w:t>
      </w:r>
    </w:p>
    <w:p>
      <w:r>
        <w:rPr>
          <w:b/>
        </w:rPr>
        <w:t>E. 6.2</w:t>
      </w:r>
    </w:p>
    <w:p>
      <w:r>
        <w:t>Das BFM hat den Gesuchstellenden somit zu Recht keine humanitären Visa ausgestellt.</w:t>
      </w:r>
    </w:p>
    <w:p>
      <w:r>
        <w:rPr>
          <w:b/>
        </w:rPr>
        <w:t>E. 7</w:t>
      </w:r>
    </w:p>
    <w:p>
      <w:r>
        <w:t>Der Beschwerdeführer lässt in seiner Beschwerde die unentgeltliche Rechtspflege und Rechtsverbeiständung für das Einspracheverfahren be­antragen. In seiner Vernehmlassung führte das SEM aus, dass die Voraussetzungen für eine diesbezügliche Gewährung nicht als erfüllt betrachtet werden. Im Weiteren sei nach summarischer Prüfung der Einsprache und der vorhandenen Unterlagen festgestellt worden, dass in casu weder die Voraussetzungen für ein erleichtertes Visum für Familienangehörige (verpasste Frist) noch ein humanitäres Visum (Aufenthalt in sicherem Drittstaat) oder für ein ordentliches Visum (Wiederausreise nicht gesichert) erfüllt seien. Damit sei das Verfahren von vornherein aussichtslos. Diesen Ausführungen in der Vernehmlassung wurde seitens des Beschwerdeführers nichts entgegnet. Da sowohl die in der Vernehmlassung gemachten Ausführungen sowie die vorinstanzliche Verfügung vollumfänglich zu bestätigen sind, ist der Antrag auf unentgeltliche Rechtspflege und Rechtsverbeiständung für das Einspracheverfahren abzuweisen und festzustellen, dass die Auferlegung der Verfahrenskosten von Fr. 150.- durch die Vorinstanz nicht zu beanstanden ist.</w:t>
      </w:r>
    </w:p>
    <w:p>
      <w:r>
        <w:rPr>
          <w:b/>
        </w:rPr>
        <w:t>E. 8</w:t>
      </w:r>
    </w:p>
    <w:p>
      <w:r>
        <w:t>Aus den vorstehenden Erwägungen ergibt sich, dass die angefochtene Verfügung Bundesrecht nicht verletzt, den rechtserheblichen Sachverhalt richtig und vollständig feststellt und angemessen ist (Art. 49 VwVG). Die Beschwerde ist daher abzuweisen. Es erübrigt sich, auf die weiteren Ausführungen in der Beschwerde näher einzugehen, da sie an der Würdigung des vorliegenden Sachverhalts nichts zu ändern vermögen.</w:t>
      </w:r>
    </w:p>
    <w:p>
      <w:r>
        <w:rPr>
          <w:b/>
        </w:rPr>
        <w:t>E. 9.1</w:t>
      </w:r>
    </w:p>
    <w:p>
      <w:r>
        <w:t>Dem Ausgang des Verfahrens entsprechend wären die Kosten dem unterliegenden Beschwerdeführer aufzuerlegen (Art. 63 Abs. 1 VwVG). Da das SEM erst in seiner Vernehmlassung den bislang nicht beurteilten Antrag auf unentgeltliche Rechtspflege und Rechtsverbeiständung für das Einspracheverfahren behandelte, sind indessen keine Verfahrenskosten zu erheben, womit das Gesuch um unentgeltliche Rechtspflege im Sinne von Art. 65 Abs. 1 VwVG gegenstandslos geworden ist.</w:t>
      </w:r>
    </w:p>
    <w:p>
      <w:r>
        <w:rPr>
          <w:b/>
        </w:rPr>
        <w:t>E. 9.2</w:t>
      </w:r>
    </w:p>
    <w:p>
      <w:r>
        <w:t>Einer bedürftigen Partei kann in einem nicht aussichtslosen Verfahren ein Anwalt beigegeben werden, wenn sie nicht imstande ist, ihre Sache selber zu vertreten (Art. 65 Abs. 2 VwVG). Für die Gewährung der unentgeltlichen Verbeiständung ist ausschlaggebend, ob die gesuchstellende Partei in der Lage ist, ihre Sache im Verfahren selber wirksam zu vertreten, oder ob sie dazu notwendigerweise professioneller juristischer Hilfe bedarf (vgl. BGE 122 l E. 2c S. 51 ff). In Verfahren, welche wie das vorliegende vom Untersuchungsgrundsatz beherrscht sind, sind strenge Massstäbe an die Gewährung der unentgeltlichen Rechtsverbeiständung anzusetzen. Vorliegend geht es im Wesentlichen um die Feststellung des rechtserheblichen Sachverhalts; besondere Rechtskenntnisse zur wirksamen Beschwerdeerhebung sind im Regelfall nicht erforderlich, weshalb die unentgeltliche Verbeiständung nur in besonderen Fällen gewährt wird, in welchen in rechtlicher oder tatsächlicher Hinsicht erhöhte Schwierigkeiten bestehen. Das vorliegende Verfahren erscheint weder in tatsächlicher noch in rechtlicher Hinsicht besonders komplex, weshalb das Gesuch um Gewährung der unentgeltlichen Verbeiständung gemäss Art. 65 Abs. 2 VwVG abzuweisen ist.</w:t>
      </w:r>
    </w:p>
    <w:p>
      <w:r>
        <w:rPr>
          <w:b/>
        </w:rPr>
        <w:t>E. 9.3</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Der Beschwerdeführer wiederholte in seiner Rechtsmitteleingabe seinen bereits im Einspracheverfahren gestellten, aber von der Vorinstanz nicht beurteilten Antrag auf Gewährung der unentgeltlichen Rechtspflege und Rechtsverbeiständung. Dieser Fehler wurde im Verlaufe des Beschwerdeverfahrens behoben (siehe E. 7). Der Beschwerdeführer ist anwaltlich vertreten, weshalb ihm grundsätzlich eine Parteientschädigung für die im Zusammenhang mit dem erwähnten Mangel stehenden Aufwendungen zu entrichten wäre. Indessen wird weder dargetan noch ist aus den Akten ersichtlich, dass und inwiefern ihm verhältnismässig hohe Kosten entstanden sind. Vielmehr erscheinen allfällige Kosten als verhältnismässig gering, weshalb keine Parteientschädigung zuzusprechen ist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