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D-6409/2014 vom 9. Juni 2015</w:t>
      </w:r>
    </w:p>
    <w:p>
      <w:r>
        <w:t>Bundesverwaltungsgericht, 2015-06-09, DE</w:t>
      </w:r>
    </w:p>
    <w:p>
      <w:r>
        <w:rPr>
          <w:b/>
        </w:rPr>
        <w:t xml:space="preserve">Quelle: </w:t>
      </w:r>
      <w:r>
        <w:t>https://mcp.opencaselaw.ch/entscheid/bvger_D-6409_2014</w:t>
      </w:r>
    </w:p>
    <w:p>
      <w:r>
        <w:t>FR: TAF D-6409/2014 du 9 juin 2015</w:t>
      </w:r>
    </w:p>
    <w:p>
      <w:r>
        <w:t>IT: TAF D-6409/2014 del 9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geht davon aus, dass der Beschwerdeführer die Schweizer Behörden massiv getäuscht habe. Nicht nur sei er volljährig, auch seien seine Asylvorbringen unglaubhaft, da die Botschaftsabklärungen weder ein oppositionelles Engagement des Beschwerdeführers noch seines Vaters zu belegen vermocht hätten und auch keiner in der Familie je verhaftet worden sei. Die eingereichte Parteimitgliedskarte sei eine Fälschung, beziehungsweise ein abhandengekommenes, verfälschtes Dokument, das keine Beweiskraft habe. Zudem habe der Beschwerdeführer als Minderjähriger gar nie Parteimitglied werden können. Darüber hinaus habe sich der Beschwerdeführer bei der Schilderung seiner Vorbringen an vielen Stellen widersprochen. Seine Ausführungen seien realitätsfremd gewesen und wären nicht der allgemeinen Logik entsprechend ausgefallen, weshalb das Asylgesuch abgelehnt worden sei.</w:t>
      </w:r>
    </w:p>
    <w:p>
      <w:r>
        <w:rPr>
          <w:b/>
        </w:rPr>
        <w:t>E. 4.2</w:t>
      </w:r>
    </w:p>
    <w:p>
      <w:r>
        <w:t>Der Beschwerdeführer bringt in der Beschwerde dagegen vor, sein Vater sei ein Aktivist der UDPS und habe für die Partei fotografiert. Auch er selbst sei als Mitglied der Jugendorganisation der Oppositionspartei UDPS von Soldaten, welche die Familie am [Datum] in ihrem Heim aufgesucht hätten, festgenommen, verhaftet und in der Haft gefoltert worden. Seine Eltern seien seit diesem Tag verschollen und er habe das Land verlassen müssen, er habe den Kontakt zu den Eltern bis heute verloren. Er sei minderjährig, sein Alter werde durch seine Geburtsurkunde belegt. Das Ergebnis der Botschaftsabklärung sei fehlerhaft, der Vertrauensanwalt habe sicher nicht mit seiner Mutter gesprochen, da die Aussagen der befragten Frau völlig unzutreffend gewesen seien. Die Abklärung sei nicht sorgfältig erfolgt. Er sei bereit zu einem DNA-Test, zum Beleg, dass die Frau nicht seine Mutter gewesen sein könne.</w:t>
      </w:r>
    </w:p>
    <w:p>
      <w:r>
        <w:rPr>
          <w:b/>
        </w:rPr>
        <w:t>E. 5.1</w:t>
      </w:r>
    </w:p>
    <w:p>
      <w:r>
        <w:t>Nach Würdigung der Akten kommt das Bundesverwaltungsgericht zum Schluss, dass die Erwägungen der Vorinstanz zur fehlenden Glaubhaftigkeit der Vorbringen des Beschwerdeführers im Ergebnis zutreffend sind und die Ausführungen in der Beschwerdeschrift und in den weiteren Eingaben auf Beschwerdeebene sowie die eingereichten Beweismittel an dieser Sichtweise nichts zu ändern vermögen. Entgegen der in der Rechtsmitteleingabe vertretenen Ansicht hat das SEM den Sachverhalt genügend abgeklärt und in seinem angefochtenen Entscheid die Gründe, weshalb die Vorbringen des Beschwerdeführers als realitätsfremd und unlogisch und somit als unglaubhaft zu erachten sind, in schlüssiger und einlässlicher Weise aufgezeigt. Auch sind nach Einschätzung des Gerichts die Erkenntnisse der Botschaftsabklärung zwar knapp zusammengefasst worden, doch im Ergebnis sind sie nicht zu bezweifeln. Zur Vermeidung von Wiederholungen kann auf die entsprechenden Ausführungen im angefochtenen Entscheid verwiesen werden. Ergänzend ist in diesem Zusammenhang auch auf die Asylverfahrensakten der Schwester des Beschwerdeführers (I._______, N (...)) zu verweisen, die vom Bundesverwaltungsgericht beigezogen wurden. Die Schwester hatte im Rahmen ihres Verfahrens Angaben zur Identität und zum Wohnort ihrer Eltern gemacht, die mit denen des Beschwerdeführers übereinstimmend sind. Allerdings hat sie, sowohl in ihrer Befragung zur Person vom [Datum], als auch in der Anhörung am [Datum] angegeben, ihr jüngster Bruder A._______ sei zu diesem Zeitpunkt ungefähr 20 Jahre alt (vgl. Akten N [...], act. A1/9, Ziff. 12, A11/25, Famille et Parenté, S. 6) und stehe vor dem Schulabschluss. Sie hat ausserdem zu Protokoll gegeben, dass in ihrer Familie niemand politisch aktiv sei (ebenda, act. A11/25, Activité Politique, S. 8). Diese Aussagen korrespondieren mit den Ergebnissen der Abklärungen durch den Vertrauensanwalt der Botschaft im vorliegenden Verfahren. Nach dem Gesagten ist festzuhalten, dass es trotz Allem befremdlich anmutet, dass der Beschwerdeführer in der Schweiz jahrelang als Minderjähriger gegolten hat, obwohl viel dafür spricht, dass er schon längst volljährig ist. Jedoch kommt dieser Frage vorliegend nur untergeordnete Bedeutung zu und kann letztlich offen gelassen werden. Festzuhalten ist, dass der Beschwerdeführer von den Asyl- und Vormundschaftsbehörden als minderjährig behandelt wurde und ihm gegenüber während des gesamten Asylverfahrens alle nötigen Kindesschutzmassnahmen angeordnet und eingehalten wurden. Er war verbeiständet und sein Rechtsvertreter nahm an seiner Anhörung teil. Selbst wenn die Vorinstanz schliesslich zum Ergebnis gekommen ist, dass der Beschwerdeführer die Behörden über sein Alter getäuscht habe, so ist ihm aus diesem Umstand verfahrensrechtlich jedenfalls kein Nachteil erwachsen. Inzwischen ist er - auch bei Zugrundelegung des von ihm angegebenen Geburtsdatums - im [Datum] volljährig geworden. Nicht von der Hand zu weisen ist, dass sich das Ergebnis der Abklärungen hinsichtlich seines Alters allerdings nachteilig auf die Einschätzung der Glaubhaftigkeit seiner Vorbringen insgesamt auswirkt. Das Alter ist dabei ein Aspekt, aus dem sich vor allem in Hinblick auf die angebliche Parteimitgliedschaft in der UDPS Ungereimtheiten ergeben haben, die der Beschwerdeführer nicht aufzulösen vermochte. Insgesamt geht das Gericht mit der Vorinstanz einig, dass die Vorbringen nicht glaubhaft gemacht wurden.</w:t>
      </w:r>
    </w:p>
    <w:p>
      <w:r>
        <w:rPr>
          <w:b/>
        </w:rPr>
        <w:t>E. 5.2</w:t>
      </w:r>
    </w:p>
    <w:p>
      <w:r>
        <w:t>Nach den obigen Ausführungen stellt das Bundesverwaltungsgericht fest, dass es dem Beschwerdeführer nicht gelungen ist, eine asylrelevante Verfolgung im Sinne von Art. 3 AsylG glaubhaft zu machen.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Rückkehr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Kongo (Kinshasa) herrscht keine landesweite Bürgerkriegssituation und keine Situation allgemeiner Gewalt. Gleichwohl gilt die Rückkehr von Personen aus diesem Staat gemäss ständiger Rechtsprechung des Gerichts nur als zumutbar,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in aller Regel insbesondere auch dann als nicht zumutbar, wenn eine zurückzuführende Person (kleine) Kinder in ihrer Begleitung hat, für mehrere Kinder verantwortlich ist oder wenn es sich bei der zurückzuführenden Person um eine alleinstehende, über kein soziales oder familiäres Netz verfügende Frau handelt (vgl. etwa Urteile des BVGer E-3183/2012 vom 2. Dezember 2014, E. 7.1, D-2714/2013 vom 17. Oktober 2014 E. 5.3.2 und E-3816/2012 vom 17. Juni 2014 E. 9.3 sowie EMARK 2004 Nr. 33 E. 8.4).</w:t>
      </w:r>
    </w:p>
    <w:p>
      <w:r>
        <w:rPr>
          <w:b/>
        </w:rPr>
        <w:t>E. 7.6</w:t>
      </w:r>
    </w:p>
    <w:p>
      <w:r>
        <w:t>Gemäss Aussagen des inzwischen volljährigen Beschwerdeführers lebte er bis zu seiner Ausreise mit seinen Eltern auf dem Anwesen der Familie in B._______. Anlässlich der Befragung zur Person gab er zu Protokoll, seine Adresse sei immer noch diejenige der elterlichen Wohnung. Da es dem Beschwerdeführer wie oben ausgeführt nicht gelungen ist, glaubhaft zu machen, dass seine Eltern verschollen sind und er den Kontakt verloren habe und er bis ins Jahr 2012 in B._______ lebte, kann davon ausgegangen werden, dass er bei einer Rückkehr nicht nur seine Eltern vorfinden wird, sondern über den engen Familienkreis hinaus auch über ein weiteres soziales Beziehungsnetz verfügt. Zudem ist angesichts seiner überdurchschnittlich guten Ausbildung zu erwarten, dass er in der Lage sein wird, sich dort eine wirtschaftliche Existenz aufzubauen. Es ist demzufolge nicht davon auszugehen, dass er bei einer Rückkehr nach B._______ in eine existenzielle Notlage im Sinne von Art. 83 Abs. 4 AuG geraten wird. Zudem kann - wie auch von der Vorinstanz richtig festgestellt - die in der Schweiz ansässige Schwester die Familie gegebenenfalls unterstützen.</w:t>
      </w:r>
    </w:p>
    <w:p>
      <w:r>
        <w:rPr>
          <w:b/>
        </w:rPr>
        <w:t>E. 7.7</w:t>
      </w:r>
    </w:p>
    <w:p>
      <w:r>
        <w:t>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7.9</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die prozessuale Bedürftigkeit jedoch belegt wurde und die Beschwerde im Zeitpunkt ihrer Einreichung nicht als aussichtslos zu qualifizieren war, ist das noch unbeurteilt gebliebene Gesuch um unentgeltliche Rechtspflege vorliegend gutzuheissen, mit der Folge, dass die Kosten erlassen werden. Bei dieser Ausgangslage ist auch das Gesuch um amtliche Verbeiständung gemäss Art. 110a AsylG gutzuheissen und die mandatierte Anwältin als unentgeltliche Beiständin gemäss Art. 110a Abs. 1 AsylG einzusetzen. Es ist ihr demnach eine Entschädigung zu Lasten des Gerichts auszurichten. Die Rechtsvertreterin hat in der eingereichten Kostennote einen Aufwand von zwölf Stunden ausgewiesen. Da sie noch eine Replik eingegeben hat, ist von einem angemessenen Total von 14 Stunden auszugehen. Der von ihr in Rechnung gestellte Stundenansatz von Fr. 250.- erscheint reglementskonform (vgl. Art. 10 Abs. 2 des Reglements vom 21. Februar 2008 über die Kosten und Entschädigungen vor dem Bundesverwaltungsgericht [VGKE, SR 173.320.2]); die ausgewiesenen Aufwendungen von Fr. 50.- sind ebenfalls angemessen und zu entschädigen (vgl. Art. 11 VGKE). Das amtliche Honorar ist demnach auf Fr. 3'830.-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