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D-6408/2015 vom 29. Oktober 2015</w:t>
      </w:r>
    </w:p>
    <w:p>
      <w:r>
        <w:t>Bundesverwaltungsgericht, 2015-10-29, DE</w:t>
      </w:r>
    </w:p>
    <w:p>
      <w:r>
        <w:rPr>
          <w:b/>
        </w:rPr>
        <w:t xml:space="preserve">Quelle: </w:t>
      </w:r>
      <w:r>
        <w:t>https://mcp.opencaselaw.ch/entscheid/bvger_D-6408_2015</w:t>
      </w:r>
    </w:p>
    <w:p>
      <w:r>
        <w:t>FR: TAF D-6408/2015 du 29 octobre 2015</w:t>
      </w:r>
    </w:p>
    <w:p>
      <w:r>
        <w:t>IT: TAF D-6408/2015 del 29 ottobre 2015</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Bundesverwaltungsgericht in der Regel - so auch vorliegend - endgültig über Beschwerden gegen Verfügungen des SEM (vgl. Art. 105 AsylG [SR 142.31]; Art. 83 Bst. d Ziff. 1 BGG). Es ist daher für die Beurteilung der vorliegenden Beschwerde zuständig. Das Verfahren richtet sich nach dem VwVG, soweit das VGG und das AsylG nichts anderes bestimmen (Art. 37 VGG und Art. 6 AsylG).</w:t>
      </w:r>
    </w:p>
    <w:p>
      <w:r>
        <w:rPr>
          <w:b/>
        </w:rPr>
        <w:t>E. 1.2</w:t>
      </w:r>
    </w:p>
    <w:p>
      <w:r>
        <w:t>Die Zuweisung einer asylsuchenden Person an einen Kanton stellt eine selbständig anfechtbare Zwischenverfügung im Sinne von Art. 107 Abs. 1 letzter Satz AsylG i.V.m. Art. 27 Abs. 3 AsylG dar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w:t>
      </w:r>
    </w:p>
    <w:p>
      <w:r>
        <w:rPr>
          <w:b/>
        </w:rPr>
        <w:t>E. 1.3</w:t>
      </w:r>
    </w:p>
    <w:p>
      <w:r>
        <w:t>Zwischenverfügungen sind innerhalb von zehn Tagen ab deren Eröffnung anzufechten (Art. 108 Abs. 1 AsylG). Die Formvorschriften richten sich vorliegend nach Art. 52 VwVG. Die erste Eingabe des Schwagers der Beschwerdeführerin wurde innerhalb der Beschwerdefrist gegen den Zuweisungsentscheid des SEM vom 2. Oktober 2015 eingereicht, womit die Frist als gewahrt gilt. Mit Eingabe vom 21. Oktober 2015 wurde die erste Eingabe innerhalb der angesetzten Nachfrist verbessert und mit der eigenhändigen Unterschrift der Beschwerdeführerin versehen. Der ursprüngliche Formmangel wurde damit fristgerecht behoben (Art. 52 Abs. 2 VwVG).</w:t>
      </w:r>
    </w:p>
    <w:p>
      <w:r>
        <w:rPr>
          <w:b/>
        </w:rPr>
        <w:t>E. 1.4</w:t>
      </w:r>
    </w:p>
    <w:p>
      <w:r>
        <w:t>Die Beschwerdeführenden haben am Verfahren vor der Vorinstanz teilgenommen, sind durch die angefochtene Verfügung besonders berührt und haben ein schutzwürdiges Interesse an deren Aufhebung beziehungsweise Änderung. Daher sind sie zur Beschwerdeführung legitimiert (vgl. Art. 105 AsylG i.V.m. Art. 48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w:t>
      </w:r>
    </w:p>
    <w:p>
      <w:r>
        <w:t>Gemäss Art. 27 Abs. 3 AsylG weist das SEM die Asylsuchenden den Kantonen zu und trägt dabei den schützenswerten Interessen der Kantone und der Asylsuchenden Rechnung. Dabei erfolgt die Verteilung nach einem Schlüssel gemäss Art. 21 der Asylverordnung 1 vom 11. August 1999 über Verfahrensfragen (AsylV 1, SR 142.311), wobei das SEM bei der Verteilung bereits in der Schweiz lebende Familienangehörige, die Staatsangehörigkeit der Asylsuchenden und besonders betreuungsintensive Fälle berücksichtigt (Art. 22 Abs. 1 AsylV 1).</w:t>
      </w:r>
    </w:p>
    <w:p>
      <w:r>
        <w:rPr>
          <w:b/>
        </w:rPr>
        <w:t>E. 4.1</w:t>
      </w:r>
    </w:p>
    <w:p>
      <w:r>
        <w:t>Der Begriff der Familieneinheit gemäss Art. 27 Abs. 3 AsylG orientiert sich grundsätzlich an dem im Asylrecht geltenden Familienbegriff im Sinne von Art. 1a Bst. e AsylV 1 und umfasst mithin die Kernfamilie (Ehegatten, eingetragene Partnerinnen und Partner, in dauernder eheähnlicher Gemeinschaft zusammenlebende Personen sowie minderjährige Kinder). Über diesen engen Kern hinausgehende verwandtschaftliche Bande fallen demgegenüber nur dann unter den Schutz der Einheit der Familie, wenn zwischen diesen Personen ein eigentliches Abhängigkeitsverhältnis besteht (vgl. BVGE 2008/47 E. 4.1.1). Gemäss Rechtsprechung des Bundesverwaltungsgerichts ist insbesondere dann von einem derartigen Abhängigkeitsverhältnis unter Verwandten auszugehen, wenn die Angehörigen behindert sind oder aus einem anderen Grund auf die Hilfe einer Person, welche in der Schweiz lebt, angewiesen sind (vgl. BVGE 2008/47 E. 4.1.2).</w:t>
      </w:r>
    </w:p>
    <w:p>
      <w:r>
        <w:rPr>
          <w:b/>
        </w:rPr>
        <w:t>E. 4.2</w:t>
      </w:r>
    </w:p>
    <w:p>
      <w:r>
        <w:t>Anlässlich der Befragung zur Person wurden weder gesundheitliche Probleme noch ein Abhängigkeitsverhältnis geltend gemacht. Auch in der Beschwerde war davon keine Rede und es wurde im Wesentlichen vorgebracht, dass die angefochtene Verfügung den Grundsatz der Einheit der Familie verletze, da es sich bei der Beschwerdeführerin gleichzeitig um die Cousine von F._______, wie auch - als Schwester von dessen Frau - um seine Schwägerin handle. Die Familie des Schwagers möchte den Beschwerdeführenden bei der Integration in der Schweiz behilflich sein. Ausserdem wolle sie die Beschwerdeführerin in ihrem Alltag unterstützen, da sie alleinstehend sei und zwei kleine Kinder zu versorgen habe.</w:t>
      </w:r>
    </w:p>
    <w:p>
      <w:r>
        <w:rPr>
          <w:b/>
        </w:rPr>
        <w:t>E. 4.3</w:t>
      </w:r>
    </w:p>
    <w:p>
      <w:r>
        <w:t>Der im Kanton E._______ wohnhafte Schwager und seine Familie gehören nicht zur Kernfamilie gemäss Art. 1a Bst. e AsylV 1 der Beschwerdeführenden. Auch ist aufgrund der vorliegenden Aktenlage nicht von einem Abhängigkeitsverhältnis im Sinne der Rechtsprechung des Bundesverwaltungsgerichts auszugehen. Zwar ist der Wunsch der Beschwerdeführenden, in der Nähe ihrer Verwandten zu leben, durchaus nachvollziehbar und es soll auch nicht verkannt werden, dass auf diese Weise hilfreiche Unterstützung bei der Bewältigung des Alltags und der Integration in der Schweiz leichter organisierbar wäre. Dennoch vermögen vorliegend diese Umstände allein noch kein Abhängigkeitsverhältnis im oben genannten Sinne zu begründen.</w:t>
      </w:r>
    </w:p>
    <w:p>
      <w:r>
        <w:rPr>
          <w:b/>
        </w:rPr>
        <w:t>E. 4.4</w:t>
      </w:r>
    </w:p>
    <w:p>
      <w:r>
        <w:t>Zusammenfassend lässt sich festhalten, dass die Kantonszuweisung der Beschwerdeführenden den Grundsatz der Einheit der Familie im Sinne von Art. 27 Abs. 3 AsylG nicht verletzt und die Beschwerde demnach abzuweisen ist.</w:t>
      </w:r>
    </w:p>
    <w:p>
      <w:r>
        <w:rPr>
          <w:b/>
        </w:rPr>
        <w:t>E. 5</w:t>
      </w:r>
    </w:p>
    <w:p>
      <w:r>
        <w:t>Bei diesem Ausgang des Verfahrens wären die Kosten grundsätzlich den Beschwerdeführenden aufzuerlegen (Art. 63 Abs. 1 und 5 VwVG). Jedoch kann vorliegend unter Berücksichtigung aller Umstände, in Anwendung von Art. 63 Abs. 1 letzter Satz VwVG und Art. 6 Bst. b des Reglements vom 21. Februar 2008 über die Kosten und Entschädigungen vor dem Bundesverwaltungsgericht (VGKE, SR 173.320.2)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