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D-6405/2009 vom 18. Januar 2010</w:t>
      </w:r>
    </w:p>
    <w:p>
      <w:r>
        <w:t>Bundesverwaltungsgericht, 2010-01-18, IT</w:t>
      </w:r>
    </w:p>
    <w:p>
      <w:r>
        <w:rPr>
          <w:b/>
        </w:rPr>
        <w:t xml:space="preserve">Quelle: </w:t>
      </w:r>
      <w:r>
        <w:t>https://mcp.opencaselaw.ch/entscheid/bvger_D-6405_2009</w:t>
      </w:r>
    </w:p>
    <w:p>
      <w:r>
        <w:t>FR: TAF D-6405/2009 du 18 janvier 2010</w:t>
      </w:r>
    </w:p>
    <w:p>
      <w:r>
        <w:t>IT: TAF D-6405/2009 del 18 gennaio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L'anticipo, di CHF 600.-, versato il 23 ottobre 2009, è computato con le spese processuali.</w:t>
      </w:r>
    </w:p>
    <w:p>
      <w:r>
        <w:rPr>
          <w:b/>
        </w:rPr>
        <w:t>E. 3</w:t>
      </w:r>
    </w:p>
    <w:p>
      <w:r>
        <w:t>La presente sentenza è indirizzata: ai ricorrenti (plico raccomandato) all'UFM, Divisione soggiorno, con allegato l'incarto N [...] (per corriere interno; in copia) al K._______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