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D-6404/2016 vom 2. Dezember 2016</w:t>
      </w:r>
    </w:p>
    <w:p>
      <w:r>
        <w:t>Bundesverwaltungsgericht, 2016-12-02, DE</w:t>
      </w:r>
    </w:p>
    <w:p>
      <w:r>
        <w:rPr>
          <w:b/>
        </w:rPr>
        <w:t xml:space="preserve">Quelle: </w:t>
      </w:r>
      <w:r>
        <w:t>https://mcp.opencaselaw.ch/entscheid/bvger_D-6404_2016</w:t>
      </w:r>
    </w:p>
    <w:p>
      <w:r>
        <w:t>FR: TAF D-6404/2016 du 2 décembre 2016</w:t>
      </w:r>
    </w:p>
    <w:p>
      <w:r>
        <w:t>IT: TAF D-6404/2016 del 2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seine Ausreise zunächst damit, er habe sich seit dem Jahre 2006 dem Christentum zugewandt, vom Islam distanziert und immer wieder öffentliche Reden gehalten, in denen er sich kritisch über den Islam geäussert habe. Aus diesem Grund sei er bereits 2006 von Islamisten attackiert und dabei mit einem Messer verletzt worden. Auch in der Folge sei er immer wieder wegen seiner öffentlichen islamkritischen Reden von Islamisten bedroht worden. Zuletzt habe ihm ein Verwandter seines Vaters, G._______, der selbst Mitglied einer salafistischen Gruppierung gewesen sei, aus Sympathie beziehungsweise Mitleid mitgeteilt, die Salafisten trachteten nach seinem Leben. Er habe ihm deshalb den Rat erteilt, sein Heimatland umgehend zu verlassen, was er denn auch getan habe. Dies, nachdem er anlässlich einer Versammlung am 20. Juli 2015 vor rund 300 Leuten abermals Kritik am Islam geübt und in diesem Zusammenhang auch die Gewalttätigkeiten des Islamischen Staates gegenüber der kurdischen Bevölkerung in der umkämpften Stadt Kobane angeprangert habe.</w:t>
      </w:r>
    </w:p>
    <w:p>
      <w:r>
        <w:rPr>
          <w:b/>
        </w:rPr>
        <w:t>E. 5.1.1</w:t>
      </w:r>
    </w:p>
    <w:p>
      <w:r>
        <w:t>Einleitend bleibt festzuhalten, dass es dem Beschwerdeführer nicht gelungen ist, plausibel darzulegen, wie er im Irak zum Christentum konvertiert sei und was ihn am Christentum überzeugt habe. So vermag seine Behauptung, dass er seinen Entscheid zugunsten des Christentums im Irak letztlich nur der Lektüre des Korans und seiner persönlichen spirituellen Seite verdanke, zumal er sich im Irak nie mit anderen Christen ausgetauscht habe (vgl. act. A12/27 S. 21 f. F198 f.), in keiner Weise zu überzeugen. Auch der inhaltliche Ansatz, Mohammed als Prophet sei ein Lügner, Jesus Christus dagegen verkörpere die Wahrheit, da er sich für seine Mitmenschen aufgeopfert und niemanden umgebracht habe (vgl. act. A12/27 S. 20 f. F189 f.), mutet reichlich pauschal an. Bereits aus diesem Grund kommen erste Zweifel an der angeblichen öffentlichen Kritik des Beschwerdeführers am Islam und hierauf fussenden Drohungen seitens der Islamisten auf.</w:t>
      </w:r>
    </w:p>
    <w:p>
      <w:r>
        <w:rPr>
          <w:b/>
        </w:rPr>
        <w:t>E. 5.1.2</w:t>
      </w:r>
    </w:p>
    <w:p>
      <w:r>
        <w:t>Im Weiteren mutet es angesichts der notorischen Unduldsamkeit der Islamisten gegenüber jeglicher Kritik an ihrer Religion realitätsfremd an, dass diese den Beschwerdeführer - von einer Messerattacke im Jahre 2006 abgesehen - trotz dessen anhaltender jahrelanger öffentlicher Kritik am Islam lediglich wiederholt mündlich verwarnt hätten (vgl. act. A12/27 S. 11 F. F94), ohne dass ihm darüber hinaus irgendetwas passiert sein soll.</w:t>
      </w:r>
    </w:p>
    <w:p>
      <w:r>
        <w:rPr>
          <w:b/>
        </w:rPr>
        <w:t>E. 5.1.3</w:t>
      </w:r>
    </w:p>
    <w:p>
      <w:r>
        <w:t>Angesichts des Gesagten ist somit davon auszugehen, dass der Beschwerdeführer sich im Irak in der Öffentlichkeit weder im Zusammenhang mit seiner angeblichen Konversion zum Christentum noch wegen kritischer Äusserungen zum Islam exponiert hat.</w:t>
      </w:r>
    </w:p>
    <w:p>
      <w:r>
        <w:rPr>
          <w:b/>
        </w:rPr>
        <w:t>E. 5.1.4</w:t>
      </w:r>
    </w:p>
    <w:p>
      <w:r>
        <w:t>Diese Annahme wird indirekt durch den Umstand bestätigt, dass sowohl in der irakischen Identitätskarte des Beschwerdeführers vom 22. Mai 2014 als auch in dessen Nationalitätenausweis vom 16. November 2014 unter Religionszugehörigkeit "Muslim" vermerkt ist. Hierauf anlässlich der Bundesanhörung angesprochen, erwiderte der Beschwerdeführer, dies sei in seiner Heimat normal, zumal es viel zu gefährlich sei, seine Konfessionszugehörigkeit gerichtlich ändern zu lassen (vgl. act. A12/27 S. 14 F127). Angesichts dieser Besonnenheit bleibt indessen unerfindlich, weshalb der Beschwerdeführer sich wissentlich durch jahrelange öffentliche Kritik am Islam sowie durch sein öffentliches Bekenntnis zur Konversion zum Christentum (vgl. act. A12/27 S. 13 F118 f.) dem Risiko hätte aussetzen sollen, Opfer eines Mordanschlags seitens der Islamisten zu werden.</w:t>
      </w:r>
    </w:p>
    <w:p>
      <w:r>
        <w:rPr>
          <w:b/>
        </w:rPr>
        <w:t>E. 5.2</w:t>
      </w:r>
    </w:p>
    <w:p>
      <w:r>
        <w:t>Soweit der Beschwerdeführer sich auf eine Furcht vor Verfolgung durch die kurdische Regierung beruft, bleibt anzumerken, dass er diese im Ergebnis ebenfalls in einen Zusammenhang mit den von ihm abgehaltenen öffentlichen Gesprächen und Diskussionen gestellt hat (vgl. act. A12/27 S. 14 F 128 f.). Aufgrund der Ausführungen unter Ziff. 5.1.1 bis 5.1.4 hiervor erscheint indessen nicht glaubhaft, dass der Beschwerdeführer sich im Zusammenhang mit Islamkritik oder Konversion zum Christentum öffentlich exponiert hatte. So besehen sind keine Gründe ersichtlich, welche die kurdische Regierung konkret veranlasst haben könnte, konkret gegen ihn vorzugehen. Im Weiteren erscheint es unlogisch, dass ihn die Polizei von D._______ am 22. Juli 2015 nach Konfiskation seines Reisepasses wieder auf freien Fuss gesetzt haben sollte, während das örtliche Gericht ihn am 15. September 2015, also anderthalb Monate nach seiner Ausreise aus seinem Heimatland, plötzlich zur Verhaftung ausgeschrieben haben sollte. Der diesbezügliche Erklärungsversuch in der Beschwerde, der Haftbefehl sei letztlich nur deshalb erfolgt, weil der Beschwerdeführer die Flucht ergriffen habe (a.a.O. S. 6), vermag nicht zu überzeugen. Bereits aus diesem Grunde sind Zweifel an der Echtheit des Haftbefehls (und des polizeilichen Warnschreibens) angebracht. Der Beschwerdeführer reichte mit Begleitschreiben vom 1. Dezember 2016 die Originale des Warnschreibens der Polizei D._______ vom 16. August 2015, des auf ihn lautenden Haftbefehls des Präsidiums des Berufungsgerichts der Region E._______ vom 15. September 2015 sowie eines vom 6. Juni 2016 datierenden Abwesenheitsurteils des Strafgerichts E._______ ins Recht. In diesem Zusammenhang ist vorab anzumerken, dass es sich bei einem Haftbefehl um ein amtinternes Dokument handelt, das weder der Familie eines Gesuchten noch diesem selbst ausgehändigt wird. Aus diesem Grund gelangt das Gericht zum Schluss, dass es sich beim zu den Akten gereichten Haftbefehl vom 15. September 2015 um eine Fälschung handelt. Hinzu tritt der Umstand, dass das Abwesenheitsurteil vom 6. Juni 2016 lediglich von einer Verurteilung des Beschwerdeführers gestützt auf Art. 182/A des revidierten Strafgesetzbuchs spricht, ohne darzutun, worum es sich bei der fraglichen Gesetzesnorm überhaupt handelt. Auch im Begleitschreiben wird nicht konkret dargetan, aus welchem Grund der Beschwerdeführer gerichtlich verurteilt worden sein soll. Bei dieser Sachlage ist für das Bundesverwaltungsgericht - Echtheit des fraglichen Abwesenheitsurteils angenommen - jedenfalls nicht ersichtlich, dass die Verurteilung des Beschwerdeführers tatsächlich auf einer asylrechtlich relevanten Verfolgung beruht.</w:t>
      </w:r>
    </w:p>
    <w:p>
      <w:r>
        <w:rPr>
          <w:b/>
        </w:rPr>
        <w:t>E. 5.3</w:t>
      </w:r>
    </w:p>
    <w:p>
      <w:r>
        <w:t>Zusammenfassend ist deshalb festzuhalten, dass es dem Beschwerdeführer nicht gelungen ist, eine asylrechtlich relevante Verfolgungssituation zu beweisen beziehungsweise glaubhaft zu machen. Es erübrigt sich, auf weitere Vorbringen in der Beschwerde einzugehen, da sie am Ergebnis nichts ändern können. Das SEM hat sein Asylgesuch demnach zu Recht und mit zutreffender Begründung abgelehnt. Zur Vermeidung weitergehender Wiederholungen kann vollumfänglich auf die angefochtene Verfügung verwiesen werden.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in den Irak dort mit beachtlicher Wahrscheinlichkeit einer nach Art. 3 EMRK oder Art. 1 FoK verbotenen Strafe oder Behandlung ausgesetzt wäre. Der Vollzug der Wegweisung ist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In den vier Provinzen der Autonomen Region Kurdistan herrsche hingegen keine Situation allgemeiner Gewalt. Der Wegweisungsvollzug sei deshalb nach wie vor grundsätzlich zumutbar, was im Einklang mit der Wegweisungspraxis des Bundesverwaltungsgerichts stehe. Ebenfalls würden keine individuellen Gründe gegen die Zumutbarkeit des Wegweisungsvollzugs sprechen. So sei darauf hinzuweisen, dass der Beschwerdeführer jung und gesund sei. Darüber hinaus verfüge er über eine solide Schulbildung sowie eine mehrjährige Berufserfahrung als Coiffeur. Ferner habe er in D._______ und E._______ ein solides familiäres Beziehungsnetz, lebten dort doch seine Mutter sowie mehrere Geschwister, die alle arbeiten würden. Demzufolge könne auch davon ausgegangen werden, dass er bei einer Rückkehr in seine Heimat auf vielseitige Unterstützung zählen könne (vgl. angefochtene Verfügung, S. 6 unten). Das Bundesverwaltungsgericht hat im Urteil E-3737/2015 vom 14. Dezember 2015 (als Referenzurteil publiziert) festgestellt, dass in den vier Provinzen der Autonomen Kurdischen Region (das KRG-Gebiet wird seit Anfang 2015 durch die Provinzen Dohuk, Erbil, Sulaimaniya sowie Halabja gebildet) heute nach wie vor nicht von einer Situation allgemeiner Gewalt im Sinne von Art. 83 Abs. 4 AuG auszugehen ist und keine konkreten Anhaltspunkte für die Annahme vorliegen, dies werde sich in absehbarer Zeit massgeblich verändern. An dieser Sichtweise wird weiterhin festgehalten (vgl. Urteile des BVGer D-3405/2016 vom 14. September 2016, E-3354/2016 vom 23. Juni 2016 und D-6975/2015 vom 16. Juni 2016). In Übereinstimmung mit den vorinstanzlichen Erwägungen ist vorliegend von der Zumutbarkeit des Wegweisungsvollzugs auszugehen.</w:t>
      </w:r>
    </w:p>
    <w:p>
      <w:r>
        <w:rPr>
          <w:b/>
        </w:rPr>
        <w:t>E. 7.4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vom Beschwerdeführer am 16. November 2016 geleistete Kostenvorschuss in Höhe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