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D-6403/2012 vom 12. Dezember 2013</w:t>
      </w:r>
    </w:p>
    <w:p>
      <w:r>
        <w:t>Bundesverwaltungsgericht, 2013-12-12, IT</w:t>
      </w:r>
    </w:p>
    <w:p>
      <w:r>
        <w:rPr>
          <w:b/>
        </w:rPr>
        <w:t xml:space="preserve">Quelle: </w:t>
      </w:r>
      <w:r>
        <w:t>https://mcp.opencaselaw.ch/entscheid/bvger_D-6403_2012</w:t>
      </w:r>
    </w:p>
    <w:p>
      <w:r>
        <w:t>FR: TAF D-6403/2012 du 12 décembre 2013</w:t>
      </w:r>
    </w:p>
    <w:p>
      <w:r>
        <w:t>IT: TAF D-6403/2012 del 12 dicembre 2013</w:t>
      </w:r>
    </w:p>
    <w:p>
      <w:pPr>
        <w:pStyle w:val="Heading2"/>
      </w:pPr>
      <w:r>
        <w:t>Regeste</w:t>
      </w:r>
    </w:p>
    <w:p>
      <w:r>
        <w:t>Esecuzione dell'allontanamento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14 novembre 2012,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14 novembre 2012 è annullata. La causa è pertanto rinviata all'autorità inferiore per il completamento dell'istruttoria e per l'emanazione di una nuova decisione ai sensi dei considerandi. L'incarto dell'UFM nonché il dossier del Tribunale, il quale sarà parte integrante degli atti per la procedura di prima istanza, sono trasmessi all'UFM. Visto l'esito della procedura, allo stato attuale non vi è luogo di analizzare le ulteriori allegazioni dell'interessata.</w:t>
      </w:r>
    </w:p>
    <w:p>
      <w:r>
        <w:rPr>
          <w:b/>
        </w:rPr>
        <w:t>E. 5.1</w:t>
      </w:r>
    </w:p>
    <w:p>
      <w:r>
        <w:t>Avendo il Tribunale statuito nel merito del ricorso, la domanda di esenzione dal versamento di un anticipo equivalente alle presunte spese processuali è divenuta senza oggetto.</w:t>
      </w:r>
    </w:p>
    <w:p>
      <w:r>
        <w:rPr>
          <w:b/>
        </w:rPr>
        <w:t>E. 5.2</w:t>
      </w:r>
    </w:p>
    <w:p>
      <w:r>
        <w:t>Non si prelevano spese processuali (cfr. art. 63 cpv. 1 e 2 PA).</w:t>
      </w:r>
    </w:p>
    <w:p>
      <w:r>
        <w:rPr>
          <w:b/>
        </w:rPr>
        <w:t>E. 5.3</w:t>
      </w:r>
    </w:p>
    <w:p>
      <w:r>
        <w:t>Alla ricorrente, non patrocinata in questa sede, non viene assegnata alcuna indennità di spese ripetibili (art. 64 cpv. 1 PA in relazione con l'art. 7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