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D-6401/2018 vom 22. Juni 2020</w:t>
      </w:r>
    </w:p>
    <w:p>
      <w:r>
        <w:t>Bundesverwaltungsgericht, 2020-06-22, DE</w:t>
      </w:r>
    </w:p>
    <w:p>
      <w:r>
        <w:rPr>
          <w:b/>
        </w:rPr>
        <w:t xml:space="preserve">Quelle: </w:t>
      </w:r>
      <w:r>
        <w:t>https://mcp.opencaselaw.ch/entscheid/bvger_D-6401_2018</w:t>
      </w:r>
    </w:p>
    <w:p>
      <w:r>
        <w:t>FR: TAF D-6401/2018 du 22 juin 2020</w:t>
      </w:r>
    </w:p>
    <w:p>
      <w:r>
        <w:t>IT: TAF D-6401/2018 del 22 giugno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eine Verletzung der Pflicht zur vollständigen und richtigen Abklärung des rechtserheblichen Sachverhalts. Diese Rüge ist vorab zu beurteilen, da sie allenfalls geeignet wäre, eine Kassation der vorinstanzlichen Verfügung zu bewirken (vgl. Kölz/Häner/Bertschi, Verwaltungsverfahren und Verwaltungsrechtspflege des Bundes; 3. Aufl. 2013, Rz. 1043 ff. m.w.H.).</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w:t>
      </w:r>
    </w:p>
    <w:p>
      <w:r>
        <w:t>Die Beschwerdeführerin rügt, der angefochtene Entscheid verletze die Pflicht zur vollständigen und richtigen Abklärung des rechtserheblichen Sachverhalts und dessen fehlerfreien Würdigung, so insbesondere durch die Nichtberücksichtigung ihrer persönlichen Umstände im Rahmen der Prüfung einer innerstaatlichen Fluchtalternative (vgl. Beschwerdeschrift S. 5 unten und S. 9 unten). Hierzu ist festzuhalten, dass vorliegend keinerlei Anhaltspunkte vorliegen, die an der Verwertbarkeit der beiden erstellten Protokolle im Rahmen der BzP und der Anhörung Zweifel aufkommen liessen. Die Beschwerdeführerin bestätigte jeweils am Ende der Befragung die Wahrheit und die Korrektheit ihrer Aussagen - im Fall der Anhörung überdies auch die Vollständigkeit - nach Rückübersetzung mit ihrer Unterschrift und machte dabei auch keine Übersetzungsprobleme geltend. Die bei der Anhörung anwesende Hilfswerkvertretung brachte ferner keine Einwände vor und regte auch keine weiteren Abklärungen an (vgl. act. A7, Unterschriftenblatt Hilfswerkvertretung gemäss Art. 30 Abs. 4 AsylG). Nach dem jeweiligen freien Erzählbericht wurden der Beschwerdeführerin diverse Nachfragen - so insbesondere im Rahmen der Anhörung - gestellt, um die geschilderten Asylvorbringen weiter zu erhellen (vgl. act. A3/11, S. 6 f.; A7, S. 13 ff.). Am Ende der Anhörung hielt die Befragerin des SEM sodann fest, es seien aus ihrer Sicht jetzt alle Fakten gesammelt, die für die Beurteilung des Asylgesuchs der Beschwerdeführerin wesentlich seien (vgl. act. A7, S. 17 unten). Diese Feststellung blieb von der Beschwerdeführerin unwidersprochen. Der an die Vorinstanz gerichtete, jedoch nicht weiter konkretisierte Vorwurf, den Sachverhalt nicht vollständig abgeklärt zu haben, ist daher als nicht stichhaltig zu qualifizieren. Sodann stellt alleine die Tatsache, dass das SEM aus sachlichen Gründen zu einer anderen Würdigung der Vorbringen oder der persönlichen Situation der Beschwerdeführerin gelangt, als von ihr gefordert, keine unrichtige oder unvollständige Sachverhaltsfeststellung dar. Diesbezüglich vermengt die Beschwerdeführerin die Frage der Feststellung des Sachverhalts mit der Frage der rechtlichen Würdigung der Sache. Im Weiteren ist festzuhalten, dass das SEM für die Beurteilung der Zumutbarkeit des Wegweisungsvollzugs Bezug zur Situation in der Türkei nahm, namentlich auch zur Niederschlagung des Militärputsches vom 15/16. Juli 2016. Dabei führte es an, es herrsche trotzdem keine landesweite Situation allgemeiner Gewalt in der Türkei. Es stellte sodann fest, das gemäss BVGE 2013/2 ein Wegweisungsvollzug in die Provinzen Sirnak und Hakkâri unzumutbar sei. Zwar berücksichtigte es dabei das Referenzurteil des Bundesverwaltungsgerichts E-1948/2018 vom 12. Juni 2018, worin eine aktualisierte Lageanalyse der südöstlichen Provinzen der Türkei vorgenommen wurde, nicht. Die Nichtberücksichtigung des Referenzurteils hat jedoch keine negativen Konsequenzen für die Beschwerdeführerin, zumal in EMARK 1996 Nr. 2 festgestellt wurde, dass die Annahme einer innerstaatlichen Aufenthaltsalternative für kurdische Gewaltflüchtlinge aus dem Südosten in den Westen der Türkei grundsätzlich gegeben sei, es sei denn, dass die individuelle Prüfung der entsprechenden persönlichen Kriterien die Unzumutbarkeit einer solchen Ausweichmöglichkeit für den betreffenden Asylbewerber ergebe. Das SEM hat vorliegend das Bestehen einer individuell zumutbaren innerstaatlichen Aufenthaltsalternative im Fall der Beschwerdeführerin geprüft und eine solche angesichts ihrer persönlichen Voraussetzungen und Fähigkeiten sowie des im Grossraum E._______ bestehenden Beziehungsnetzes bejaht (vgl. act. A13/7, S. 6). Es hat demnach die individuellen Kriterien gemäss der Rechtsprechung ausreichend geprüft. Dass es diese anders würdigt als die Beschwerdeführerin, stellt ebenfalls keine Verletzung der Untersuchungspflicht dar. Zusammenfassend erweist sich die formelle Rüge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ablehnenden Asylentscheids aus, die Beschwerdeführerin mache geltend, in erster Linie wegen familiären Schwierigkeiten die Türkei verlassen zu haben. Die geschilderten Formen der häuslichen Gewalt stellten auch in der Türkei grundsätzlich strafbare Handlungen dar, die von den zuständigen Strafverfolgungsbehörden im Rahmen ihrer Möglichkeiten verfolgt und geahndet würden. Der türkische Staat sei auch bei innerfamiliären Übergriffen grundsätzlich als schutzfähig und schutzwillig zu bezeichnen. Es bestehe zudem auch die Möglichkeit, sich direkt an die Staatsanwaltschaft zu wenden und dort den Antrag auf Erlass eines sogenannten Schutzbefehls zu stellen. Es bestehe demnach in der Türkei eine entsprechende Schutzinfrastruktur und ein rechtlicher Rahmen, der die von der Beschwerdeführerin geltend gemachten Handlungen ahnde. Aus den Akten seien jedoch keine Hinweise ersichtlich, dass die Beschwerdeführerin mit den staatlichen Behörden diesbezüglich Kontakt aufgenommen oder eine Schutzverweigerung der türkischen Behörden stattgefunden habe. Die Beschwerdeführerin mache private Nachteile geltend, die sich aus lokal oder regional beschränkten familiären Schwierigkeiten ableiteten. Sie könne sich durch einen Wegzug in einen anderen Teil ihres Heimatlandes - beispielsweise in den Grossraum E._______, wo Verwandte von ihr lebten - diesen Schwierigkeiten entziehen. Die Beschwerdeführerin sei daher nicht auf den Schutz der Schweiz angewiesen. Vor diesem Hintergrund stellten die geltend gemachten Ereignisse keine asylrechtlich relevante Gefährdung im Sinne von Art. 3 AsylG dar. Die vorgebrachte gelegentliche Teilnahme an pro-kurdischen Veranstaltungen genüge nicht, um eine begründete Furcht vor einer zukünftigen asylrelevanten Verfolgung anzunehmen. Die Beschwerdeführerin sei nicht parteipolitisch tätig gewesen und mit den Behörden nie in Konflikt geraten. Sie sei kein Mitglied einer pro-kurdischen Partei gewesen und habe auch keine Beweismittel zu ihren diesbezüglichen Vorbringen eingereicht. Die generellen Angaben zu ihren pro-kurdischen Aktivitäten seien nicht geeignet, individuell-konkrete Verfolgungselemente zu begründen. Es bestehe daher keine beachtliche Wahrscheinlichkeit, dass sich ihre Befürchtungen verwirklichen würden. Sodann führe die allgemeine Situation, in der sich die kurdisch-alevitische Bevölkerung in der Türkei befinde, gemäss gefestigter Praxis für sich allein nicht zur Anerkennung der Flüchtlingseigenschaft. Zudem habe sich im Zuge der verschiedenen Reformen in der Türkei seit dem Jahr 2001 die Situation der Kurden verbessert. Das Vorbringen der Beschwerdeführerin, als Angehörige der kurdisch-alevitischen Bevölkerung in der Türkei generell unterdrückt zu werden, sei daher als asylirrelevant zu qualifizieren. Im Weiteren sei darauf hinzuweisen, dass generelle Zweifel an den Vorbringen der Beschwerdeführerin bestehen würden. Sie habe weder einen Reisepass noch originale Unterlagen zu ihrer Identität eingereicht, so dass ihre Aussagen zum Reiseweg und Aufenthalt in der Schweiz unklar seien. Die Aussagen zu den Ausreisemodalitäten seien pauschal und vage ausgefallen. Auch sei sie nicht in der Lage gewesen, substanziierte und konkrete Angaben zur geltend gemachten Zwangsheirat zu machen. Vielmehr habe sie angegeben, es sei nur bei Bemerkungen ihres Vaters geblieben, und es habe keinerlei Kontakte zum allfälligen Ehekandidaten gegeben.</w:t>
      </w:r>
    </w:p>
    <w:p>
      <w:r>
        <w:rPr>
          <w:b/>
        </w:rPr>
        <w:t>E. 5.2</w:t>
      </w:r>
    </w:p>
    <w:p>
      <w:r>
        <w:t>Die Beschwerdeführerin entgegnete in ihrer Beschwerdeschrift, die Vorinstanz habe lediglich in pauschaler Art und Weise und ohne Berücksichtigung der zahlreichen positiven Glaubhaftigkeitselemente die Glaubhaftigkeit ihrer Aussagen bezweifelt. Es sei angesichts des Umstandes, dass ihre Mutter für sie einen Visumsantrag gestellt habe, davon auszugehen, dass sich in den Akten des ausländerrechtlichen Verfahrens genügend Dokumente fänden, welche ihre Identität beweisen würden und vom SEM hätten berücksichtigt werden müssen. Es sei sodann unzutreffend, dass ihre Aussagen pauschal und äusserst vage ausgefallen seien. Sie sei zum Zeitpunkt der Ausreise verwirrt gewesen und habe sich während derselben in einem Lastwagen befunden, den sie nicht verlassen habe. Es sei daher nachvollziehbar, dass sie die durchquerten Länder nicht benennen könne. Zudem habe sie in der Anhörung plausibel erklärt, weshalb sie sich nach ihrer Einreise nicht direkt in ein Empfangszentrum begeben habe. Ihre Aussagen betreffend den Reiseweg und den Aufenthalt würden demnach keine Widersprüche enthalten, seien lebensnah und so detailliert wie möglich ausgefallen. Im Weiteren habe sie keine genauen Angaben zu ihrem künftigen Ehemann machen können, weil sie ihn nicht persönlich gesehen und sich sofort nach E._______ begeben habe, nachdem sie durch ihren Vater über die beabsichtigte Zwangsheirat informiert worden sei. Immerhin habe sie sagen können, dass ihr künftiger Ehemann in H._______ wohnhaft sei und sich ihr Vater mit ihrem (Nennung Verwandter) telefonisch darüber unterhalten habe. Zudem dürften ihre diesbezüglichen Aussagen nicht isoliert von den anderen Aussagen zur erlebten Gewalt betrachtet werden, welche äusserst detailliert, lebensnah und in sich stimmig ausgefallen seien. Auch würden ihre Aussagen auch mit der - den Behörden bekannten - Situation der Frauen im Südosten der Türkei und der vor Ort herrschenden archaischen Sitten und Bräuchen übereinstimmen. Zudem sei sie vor der Ausreise minderjährig gewesen, man habe ihre (Nennung Verwandte) allesamt zwangsverheiratet und sie stamme aus einer patriarchalischen Familie im Südosten des Landes. Ihre Ausführungen würden überdies von ihrer (Nennung Verwandte) im beigelegten Schreiben bestätigt. Ihre Angaben seien daher insgesamt als glaubhaft zu erachten. Bei den erlittenen Misshandlungen und der drohenden Zwangsheirat handle es sich um frauenspezifische Fluchtgründe. Sodann müsse sie schlimmstenfalls mit einem Ehrenmord rechnen, weil sie durch ihre Flucht gegen die kulturellen und familiären Wertvorstellungen verstossen und sich ihrem Vater widersetzt habe. Die Situation der Frauen in der Türkei sei trotz gewissen Fortschritten noch immer prekär und Zwangsheiraten sowie Ehrenmorde würden häufig vorkommen. Die Gewalt gegen Frauen stelle nach wie vor ein grosses Problem dar und die staatlichen Massnahmen zum Schutz der Frauen seien als unzureichend zu erachten. Unter dem Diktat des türkischen Staatspräsidenten, welcher eine konservative Familienpolitik verfolge, wandle sich die Türkei je länger je mehr von einem demokratisch verfassten, laizistischen in einen konservativ-islamischen Staat. Es könne in naher Zukunft nicht mit einer Besserung der Lage der Frauen in ihrer Heimat gerechnet werden. Der türkische Staat sei in diesem Zusammenhang weder als schutzwillig noch als schutzfähig zu bezeichnen. Ferner bestehe für sie keine innerstaatliche Fluchtalternative, deren Inanspruchnahme für sie zumutbar wäre. Es gebe gegen die Bedrohungen seitens ihres Vaters keine absolut sicheren Ausweichmöglichkeiten innerhalb der Türkei. Es sei davon auszugehen, dass sie auch in einem anderen Landesteil schnell von ihrem Vater ausfindig gemacht würde. Zudem handle es sich bei ihr um eine junge, alleinstehende Frau, die in der Türkei über kein tragfähiges soziales Netzwerk verfüge. Zumindest sei davon auszugehen, dass die Familienangehörigen sie vor einer Zwangsverheiratung und weiterer körperlicher Gewalt vor dem Vater nicht beschützen würden. Trotz der ihren Verwandten bekannten Situation habe ihr letztlich niemand geholfen. Ihre Mutter und ihr (Nennung Verwandter) G._______ würden sich beide in der Schweiz aufhalten. Von der Mutter könne sie keine finanzielle Hilfe erwarten, da deren finanzielle Situation schlecht sei. Sie habe deshalb kein soziales Beziehungsnetz, das ihr beim Aufbau einer menschenwürdigen Existenz in einem anderen Landesteil der Türkei behilflich sein könne. Für alleinstehende kurdische Frauen ohne familiäre Unterstützung sei dies jedoch im Westen des Landes sehr schwierig. Zwar habe sie eine Schulausbildung, aber keine nennenswerte Arbeitserfahrung. Ins Gewicht würden zudem ihre angeschlagene Psyche und die derzeit herrschenden Unruhen in der Türkei fallen. Weiter sei darauf hinzuweisen, dass ihr (Nennung Verwandter) G._______, der in der Türkei Mitglied der I._______ gewesen sei, in der Schweiz ein Asylgesuch gestellt habe. Aufgrund seiner politischen Tätigkeit bestehe für sie die Gefahr einer künftigen Reflexverfolgung. Ferner sei sie in der Schweiz exilpolitisch aktiv und nehme regelmässig an Kundgebungen teil.</w:t>
      </w:r>
    </w:p>
    <w:p>
      <w:r>
        <w:rPr>
          <w:b/>
        </w:rPr>
        <w:t>E. 6.1</w:t>
      </w:r>
    </w:p>
    <w:p>
      <w:r>
        <w:t>Das Bundesverwaltungsgericht gelangt nach Durchsicht der Akten zum Schluss, dass sich die Ausführungen in der angefochtenen Verfügung als zutreffend erweisen. Die Vorbringen in der Beschwerdeschrift und die zu deren Stützung eingereichten Dokumente sind insgesamt nicht geeignet, zu einer anderen Beurteilung als die Vorinstanz zu gelangen.</w:t>
      </w:r>
    </w:p>
    <w:p>
      <w:r>
        <w:rPr>
          <w:b/>
        </w:rPr>
        <w:t>E. 6.2.1</w:t>
      </w:r>
    </w:p>
    <w:p>
      <w:r>
        <w:t>Unbesehen der vom SEM angeführten Vorbehalte gegen die Glaubhaftigkeit der geltend gemachten Identität und der Aussagen zur beabsichtigten Zwangsheirat wie auch der Ausreisemodalitäten, ist Folgendes festzuhalten: Aufgrund der Subsidiarität des flüchtlingsrechtlichen Schutzes setzt die Anerkennung der Flüchtlingseigenschaft unter anderem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 Dabei kann - wie die Beschwerdeführerin in ihrer Beschwerdeschrift zu verkennen scheint - nicht eine faktische Garantie für langfristigen individuellen Schutz der von nichtstaatlicher Verfolgung bedrohten Person verlangt werden, weil es keinem Staat gelingen kann, die absolute Sicherheit seiner Bürgerinnen und Bürger jederzeit und überall zu garantieren.</w:t>
      </w:r>
    </w:p>
    <w:p>
      <w:r>
        <w:rPr>
          <w:b/>
        </w:rPr>
        <w:t>E. 6.2.2</w:t>
      </w:r>
    </w:p>
    <w:p>
      <w:r>
        <w:t>Soweit die Beschwerdeführerin gewalttätige Übergriffe ihres Vaters und eine beabsichtigte Zwangsheirat anführt, sind diese Vorbringen als nicht asylrelevant zu qualifizieren. 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m.w.H., bestätigt in E-1175/2020 vom 16. März 2020 E. 7.2.2 sowie in E-4377/2019 vom 8. November 2019 E. 6.1). Dabei wurde zusammenfassend Folgendes festgestellt: Die Türkei hat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um Hilfe für Opfer von häuslicher Gewalt zu bieten. Auch wenn in der Türkei unbestrittenermassen nach wie vor Ehrenmorde und häusliche Gewalt zu registrieren sind, bedeutet dies nicht, dass die bedrohten Frauen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 (vgl. E-1948/2018 E. 5.2.2). Es bestehen indessen Anzeichen dafür, dass die Türkei den oben beschriebenen Reformkurs seit einiger Zeit nicht mehr gleich kraftvoll weiterverfolgt. Der türkische Staatspräsident Erdogan war in den letzten Jahren wiederholt mit umstrittenen Äusserungen zur Rolle der Frau in der türkischen Gesellschaft in den J._______ien zitiert worden. Im November 2016 brachte seine Regierungspartei AKP überraschend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E-1948/2018 E. 5.2.3). Auch wird seit dem gescheiterten Putsch von Mitte Juli 2016 in der Türkei von einer Zunahme der Gewalt gegen Frauen berichtet (vgl. E-1948/2018 E. 5.2.4). Solche Feststellungen vermögen die gefestigte Praxis des Gerichts zur Schutzfähigkeit und Schutzbereitschaft der türkischen Behörden im heutigen Zeitpunkt nicht entscheidend zu verändern. Bei künftigen erheblichen Veränderungen bei dieser Thematik, so beispielsweise in der türkischen Gesetzgebung oder in der Gesellschaft, wäre die Frage der Schutzbereitschaft jedoch einer neuen Evaluation zu unterziehen (vgl. E-1948/2018 E. 5.2.5). Nach dem Gesagten ist davon auszugehen, dass die Beschwerdeführerin allfälligen innerfamiliären Übergriffen nicht schutzlos ausgeliefert wäre. Bei Bedarf wäre der in B._______ wohnhaften Beschwerdeführerin die Inanspruchnahme der staatlichen Schutzeinrichtungen und rechtlichen Anlaufstellen zuzumuten. Die Beschwerdeführerin gab in diesem Zusammenhang an, sie habe nie eine Anzeige gegen ihren Vater erstattet, weil sich ein Vater alles erlauben dürfe beziehungsweise das Oberhaupt der Familie sei und das Sagen habe (vgl. act. A7, S. 6 und S. 14). Dadurch verunmöglichte es die Beschwerdeführerin, die im Zeitpunkt der angedrohten Zwangsheirat immerhin bereits (...) Jahre alt war, den heimatlichen Behörden, sich für ihre Belange einzusetzen respektive Vorkehrungen zu ihrem Schutz zu treffen. Diese Untätigkeit hat die Beschwerdeführerin selber zu verantworten, sie kann nicht der Vorinstanz angelastet werden. Sodann stünde ihr selbst im Fall einer allenfalls von der Polizei nicht entgegengenommenen Anzeige die Möglichkeit offen - nötigenfalls mit Hilfe eines Anwalts - sich an eine andere oder übergeordnete Stelle zu wenden, um sich Gehör zu verschaffen. Die geltend gemachten familiären Schwierigkeiten und Übergriffe vermögen deshalb keine Asylrelevanz zu entfalten.</w:t>
      </w:r>
    </w:p>
    <w:p>
      <w:r>
        <w:rPr>
          <w:b/>
        </w:rPr>
        <w:t>E. 6.2.3</w:t>
      </w:r>
    </w:p>
    <w:p>
      <w:r>
        <w:t>Da sich die Frage, ob eine innerstaatliche Fluchtalternative bestehe, nur dann stellt, wenn zuvor eine bestehende oder drohende Verfolgung aus einem Grund nach Art. 3 AsylG festgestellt worden ist, die Beschwerdeführerin jedoch vorliegend eine derartige Verfolgung nicht begründet befürchten muss, erfüllt sie die Flüchtlingseigenschaft bereits aus diesem Grund nicht, und das Bestehen einer Fluchtalternative ist nicht zu prüfen (vgl. BVGE 2011/51 E. 8). Die diesbezüglichen Ausführungen in der Beschwerdeschrift (S. 10), welche vielmehr die Zumutbarkeit der Inanspruchnahme einer Aufenthaltsalternative betreffen, sind somit nicht bei der Prüfung der Flüchtlingseigenschaft, sondern bei derjenigen des Vollzugs der Wegweisung zu berücksichtigen.</w:t>
      </w:r>
    </w:p>
    <w:p>
      <w:r>
        <w:rPr>
          <w:b/>
        </w:rPr>
        <w:t>E. 6.2.4</w:t>
      </w:r>
    </w:p>
    <w:p>
      <w:r>
        <w:t>Die Beschwerdeführerin führt weiter an, sie und alle Angehörigen der kurdischen Minderheit würden in ihrer Heimat von den türkischen Behörden unterdrückt (vgl. act. A7, S. 15, F162). Alleine die Volkszugehörigkeit zu den Kurden stellt jedoch keine asylrechtlich relevante Gefährdung für die Angehörigen dieser Volksgruppe dar. Es sind keine konkreten Anhaltspunkte dafür ersichtlich, inwiefern die Beschwerdeführerin deswegen gezielten Verfolgungsmassnahmen ausgesetzt gewesen sein soll. Von den allgemeinen Beeinträchtigungen sind in der Türkei eine Vielzahl von Personen betroffen, so dass aus der blossen Zugehörigkeit zur erwähnten Minorität keine individuelle Gefährdung hergeleitet werden kann.</w:t>
      </w:r>
    </w:p>
    <w:p>
      <w:r>
        <w:rPr>
          <w:b/>
        </w:rPr>
        <w:t>E. 6.2.5</w:t>
      </w:r>
    </w:p>
    <w:p>
      <w:r>
        <w:t>Hinsichtlich der geltend gemachten gelegentlichen Teilnahmen der Beschwerdeführerin an pro-kurdischen Veranstaltungen in ihrer Heimat kann, in Ermangelung entsprechender Entgegnungen in der Beschwerdeschrift, auf die zu bestätigenden Erörterungen der Vorinstanz verwiesen werden (vgl. act. A13/7, S. 4, 5. Abschnitt). Insbesondere ist festzuhalten, dass die heimatlichen Behörden von diesen Aktivitäten offenbar keinerlei Kenntnis hatten, zumal die Beschwerdeführerin jegliche Kontakte oder Probleme mit denselben verneinte (vgl. act. A7, S. 15, F155 ff.).</w:t>
      </w:r>
    </w:p>
    <w:p>
      <w:r>
        <w:rPr>
          <w:b/>
        </w:rPr>
        <w:t>E. 6.3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6.3.1</w:t>
      </w:r>
    </w:p>
    <w:p>
      <w:r>
        <w:t>Hinsichtlich des Vorbringens, es bestehe das Risiko einer Reflexverfolgung, da ihr in der Türkei politisch aktiver (Nennung Verwandter) G._______ in der Schweiz ein Asylgesuch eingereicht habe, welches derzeit noch hängig sei, mithin ein objektiver Nachfluchtgrund vorliege,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die Einreise des (Nennung Verwandter) G._______ in die Schweiz und dessen Asylgesuch hierzulande seien geeignet, die Beschwerdeführerin zu gefährden. Mit Urteil des Bundesverwaltungsgerichts D-7303/2018 vom 16. Oktober 2019 wurde das Asylgesuch von G._______ rechtskräftig abgewiesen. Dabei wurde ein politisches Profil von G._______ aufgrund seines untergeordneten Engagements als unwahrscheinlich erachtet, weshalb er den heimatlichen Behörden nicht als missliebige Person bekannt sein dürfte. Sodann wurde die Wahrscheinlichkeit einer asylrelevanten künftigen Verfolgung aufgrund seiner Ethnie oder eines minimen prokurdischen Engagements verneint. Ausserdem machte G._______ keine weiteren Behelligungen seiner im Heimatland verbliebenen (Nennung Verwandte) und des Vaters geltend (D-7303/2018 E. 5). Zwar mag der Umstand, dass ihr (Nennung Verwandter) G._______ in die Schweiz flüchtete und hier (erfolglos) ein Asylverfahren durchlief, für die Beschwerdeführerin eine subjektive Furcht vor künftiger Verfolgung als nachvollziehbar erscheinen lassen. Aus objektiver Sicht sind aber aufgrund der unterbliebenen Massnahmen der türkischen Sicherheitskräfte gegenüber der Beschwerdeführerin keine Hinweise auf das allfällige Bestehen einer Reflexverfolgung zu erkennen. So sind sowohl sie als auch G._______ aus eigenen Gründen aus der Türkei geflüchtet. Dass es nach der Flucht der Beschwerdeführerin in ihrer Heimat zu irgendwelchen Behelligungen des - erst nach ihr aus der Türkei ausgereisten - (Nennung Verwandter) G._______ oder anderer Familienangehörigen gekommen sei, ist weder aktenkundig noch wird solches geltend gemacht. Zudem sind gemäss dem oben erwähnten Urteil auch nach der Flucht von G._______ offenbar keine behördlichen Massnahmen gegen die Familie ergriffen worden. Ausserdem liegen derzeit keine Hinweise vor, welche auf eine künftige Furcht vor einer Reflexverfolgung schliessen lassen. Eine solche Befürchtung hat die Beschwerdeführerin denn auch im Rahmen der durchgeführten BzP oder der Anhörung zu keinem Zeitpunkt geäussert. Zu bemerken ist ferner, dass die Tatsache allein, dass sich G._______ in der Schweiz als Asylbewerber aufhielt, für die Annahme einer Reflexverfolgung nicht ausreicht. Zusammenfassend gilt festzustellen, dass sich die Beschwerdeführerin nicht auf objektive Nachfluchtgründe berufen kann.</w:t>
      </w:r>
    </w:p>
    <w:p>
      <w:r>
        <w:rPr>
          <w:b/>
        </w:rPr>
        <w:t>E. 6.3.2</w:t>
      </w:r>
    </w:p>
    <w:p>
      <w:r>
        <w:t>Sodann ist hinsichtlich der exilpolitischen Tätigkeiten der Beschwerdeführerin das Vorliegen subjektiver Nachfluchtgründe gemäss Art. 54 AsylG zu prüfen. 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 lich ist, ob die heimatlichen Behörden das Verhalten der asylsuchenden Person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6.3.3</w:t>
      </w:r>
    </w:p>
    <w:p>
      <w:r>
        <w:t>Es ist davon auszugehen,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Beschwerdeführerin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z.B.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z.B. Urteil des BVGer D-705/2018 vom 18. Februar 2019 E. 6.1.1 m.w.H.).</w:t>
      </w:r>
    </w:p>
    <w:p>
      <w:r>
        <w:rPr>
          <w:b/>
        </w:rPr>
        <w:t>E. 6.3.4</w:t>
      </w:r>
    </w:p>
    <w:p>
      <w:r>
        <w:t>Auf Beschwerdeebene macht die Beschwerdeführerin hinsichtlich eines exilpolitischen Engagements geltend, sie nehme regelmässig an Demonstrationen gegen das türkische Regime teil. Aus den beigelegten Fotos sei ersichtlich, dass sie anlässlich einer Kundgebung am (...) in (...) eine Leuchtweste getragen habe, da sie damals für den Ordnungsdienst zuständig gewesen und dadurch individuell aus der protestierenden Masse hervorgestochen sei. Ferner habe sie unter anderem (Nennung weitere Kundgebungsteilnahmen). Sie engagiere sich auch im Verein J._______, dessen Mitglied sie seit dem (...) sei. Während (Nennung Dauer) beziehungsweise bis am (...) sei sie (Nennung Funktion) gewesen. Dabei habe sie unter anderem am (...) mit (Nennung Personen) öffentlich zu einer Konferenz beziehungsweise zur Kampagne (...) aufgerufen, die am (...) stattgefunden habe. Davon sei durch einen Kollegen am (...) ein Video auf Facebook gepostet worden, auf welchem sie zu sehen sei. Daraus folge, dass sie sich politisch besonders exponiert habe und sie wohl von den türkischen Behörden als Regimegegnerin identifiziert worden sei.</w:t>
      </w:r>
    </w:p>
    <w:p>
      <w:r>
        <w:rPr>
          <w:b/>
        </w:rPr>
        <w:t>E. 6.3.5</w:t>
      </w:r>
    </w:p>
    <w:p>
      <w:r>
        <w:t>Auf den eingereichten Fotos der Kundgebung vom (...) ist die Beschwerdeführerin - soweit sie überhaupt identifizierbar ist - als einfache Kundgebungsteilnehmerin mit einer gelben Leuchtweste zu erkennen. Dass sie sich dadurch besonders und über das Mass der gewöhnlichen Teilnehmer hinaus exponiert oder gar eine herausragende Funktion inngehabt hätte, ist nicht ersichtlich, auch wenn sie angeblich für den Ordnungsdienst zuständig gewesen ist und dafür eine Leuchtweste trug. Auch ihre Tätigkeit (Nennung Tätigkeit innerhalb des Vereins) oder auch die wiederholte Teilnahme an Kundgebungen lassen kein exponiertes exilpolitisches Engagement erkennen. Ebenso vermag der angebliche öffentliche Aufruf zu einer Konferenz beziehungsweise zur Kampagne (...) zusammen mit zwei (Nennung Personen), der dem eingereichten Foto und der Übersetzung des Videos zufolge in den Räumlichkeiten des Vereins aufgenommen und anschliessend auf Facebook gestellt worden sein soll, keine Schärfung ihres Profils zu bewirken, zumal sie namentlich nirgends erwähnt und das Video auf dem Profil respektive unter dem Namen des Kollegen veröffentlicht wurde. Es ist deshalb unwahrscheinlich, dass seitens des türkischen Regimes ein besonderes Interesse an ihr bestehen könnte, da es sich bei ihr nicht um eine Persönlichkeit handelt, die mit Blick auf Art und Umfang ihrer exilpolitischen Tätigkeiten als ausserordentlich engagierte und exponierte Regimegegnerin aufgefallen sein könnte. Dies umso mehr, als die Beschwerdeführerin vor ihrer Ausreise aufgrund ihres niederschwelligen politischen Engagements keinerlei behördliche Schwierigkeiten bekundete und demzufolge nicht im Visier der heimatlichen Behörden gestanden haben kann. Das exilpolitische Engagement der Beschwerdeführerin übersteigt die Schwelle der massentypischen Erscheinungsformen exilpolitischer Proteste türkischer Staatsangehöriger nicht.</w:t>
      </w:r>
    </w:p>
    <w:p>
      <w:r>
        <w:rPr>
          <w:b/>
        </w:rPr>
        <w:t>E. 6.4</w:t>
      </w:r>
    </w:p>
    <w:p>
      <w:r>
        <w:t>Zusammenfassend ist es der Beschwerdeführerin nicht gelungen, eine relevante Verfolgungsgefahr im Sinne von Art. 3 respektive Art. 54 AsylG darzutun. Die Vorinstanz hat demnach die Flüchtlingseigenschaft der Beschwerdeführerin zu Recht verneint und ihr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der Beschwerdeführerin in die Türkei ist demnach unter dem Aspekt von Art. 5 AsylG rechtmässig. Sodann ergeben sich weder aus den Aussagen der Beschwerdeführerin noch aus den Akten Anhaltspunkte dafür, dass ihr im Fall einer Ausschaffung in die Türkei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die Beschwerdeführerin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in der Türkei lässt den Wegweisungsvollzug zum heutigen Zeitpunkt nicht als unzulässig erscheinen.</w:t>
      </w:r>
    </w:p>
    <w:p>
      <w:r>
        <w:rPr>
          <w:b/>
        </w:rPr>
        <w:t>E. 8.2.2</w:t>
      </w:r>
    </w:p>
    <w:p>
      <w:r>
        <w:t>Was die dargelegten psychischen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Beschwerdeführerin stammt aus der Provinz B._______. Gemäss konstanter Praxis und auch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der Beschwerdeführerin in die Provinz B._______ als generell zumutbar zu erachten.</w:t>
      </w:r>
    </w:p>
    <w:p>
      <w:r>
        <w:rPr>
          <w:b/>
        </w:rPr>
        <w:t>E. 8.3.2</w:t>
      </w:r>
    </w:p>
    <w:p>
      <w:r>
        <w:t>Aus den Akten ergeben sich auch keine Hinweise darauf, dass die Beschwerdeführerin im Falle ihrer Rückkehr in die Türkei aus individuellen Gründen in eine existenzbedrohende Situation geraten könnte. Die im Verlaufe des Asylverfahrens volljährig gewordene Beschwerdeführerin verfügt sowohl in der Stadt als auch in der Provinz B._______ über diverse Verwandte (Nennung Verwandte), welche sie nach ihrer Rückkehr unterstützen können, weshalb sie nicht zwangsläufig auf die Hilfe der ebenfalls in B._______ wohnhaften Familie ihres Vaters angewiesen ist (vgl. act. A7, S. 3 f. und S. 10). Angesichts ihrer Schulbildung, ihrer Sprachkenntnisse und der - wenn auch geringen - Arbeitserfahrung sollte es der Beschwerdeführerin möglich sein, dort ein wirtschaftliches Auskommen zu finden. Dabei hat sie die Möglichkeit, auf die Hilfe einzelner Familienangehöriger zurückzugreifen. Zudem verfügt die Beschwerdeführerin über Verwandte in (...) und in (...), die ihr jedenfalls finanzielle Hilfe bieten können (vgl. act. A3/11, S. 5, Ziff. 3.02 f.). Überdies verfügt die Beschwerdeführerin mit ihrem in E._______ wohnhaften (Nennung Verwandter), bei welchem sie vor ihrer Ausreise wohnen konnte und der sich gegenüber ihrem Vater für sie einsetzte und ihr schliesslich bei der Ausreise aus der Türkei behilflich war (vgl. act. A3/11, S. 7), zweifellos über einen Bezug zu dieser Stadt, weshalb auch die Möglichkeit der dortigen sozialen Integration als gegeben zu erachten wäre. In Berücksichtigung ihrer Fähigkeiten wäre davon auszugehen, dass die Beschwerdeführerin auch dort nicht aus individuellen Gründen wirtschaftlicher oder sozialer Natur in eine existenzbedrohende Situation geraten würde. Schliesslich genügen blosse soziale und wirtschaftliche Schwierigkeiten, von denen die ansässige Bevölkerung im Allgemeinen betroffen ist, nicht, um eine konkrete Gefährdung im Sinne von Art. 83 Abs. 4 AIG darzustellen (vgl. BVGE 2008/34 E. 11.2.2).</w:t>
      </w:r>
    </w:p>
    <w:p>
      <w:r>
        <w:rPr>
          <w:b/>
        </w:rPr>
        <w:t>E. 8.3.3</w:t>
      </w:r>
    </w:p>
    <w:p>
      <w:r>
        <w:t>Hinsichtlich der gesundheitlichen Situation liegt bei der Beschwerdeführerin gemäss dem in den Akten liegenden (Nennung Beweismittel) eine (Nennung Diagnose) vor. Die Beschwerdeführerin stehe (Nennung Therapie). Die Dauer der hiesigen Behandlung sei ungewiss. Die Behandlung werde bis zur sicheren Stabilisierung des Gesundheitszustandes durchgeführt, was bei traumatisierten Patienten mit Migrationshintergrund unter anderem von einer sicheren Aufenthaltssituation abhänge. Dies treffe bei der Beschwerdeführerin ebenfalls zu. Bei Wegfall der aktuellen Belastungen psychosozialer Art sei die Prognose günstig. Hingegen sei bei Weiterbestehen oder Zunahme der Belastungen eine Eigengefährdung nicht auszuschliessen.</w:t>
      </w:r>
    </w:p>
    <w:p>
      <w:r>
        <w:rPr>
          <w:b/>
        </w:rPr>
        <w:t>E. 8.3.4</w:t>
      </w:r>
    </w:p>
    <w:p>
      <w:r>
        <w:t>Dazu ist zunächst festzustellen, dass die Behandlung psychischer Probleme, wie sie im vorliegenden ärztlichen Bericht aufgeführt werden, in der Türkei sowohl stationär als auch ambulant möglich ist.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etwa Urteil BVGer E-1948/2018 vom 12. Juni 2018 E. 7.3.5.3 m.w.H.). Dass die behandelnden Therapeutinnen (laut dem [Nennung Beweismittel]) in diesem Zusammenhang die von der Beschwerdeführerin benötigte Behandlungsmöglichkeit (...) in der Türkei in Frage stellen, vermag namentlich vor dem Hintergrund der genannten Behandlungsmöglichkeiten für psychische Erkrankungen letztlich nicht zur Unzumutbarkeit des Vollzugs zu führen. Es ist angesichts des sowohl in der Herkunftsprovinz als auch in E._______ bestehenden Beziehungsnetzes für die Beschwerdeführerin als möglich und zumutbar zu erachten, eine entsprechende Behandlung weiterzuführen. Sodann kann einer allfälligen Eigengefährdung der Beschwerdeführerin als Reaktion auf den negativen Beschwerdeentscheid und der Aussicht auf eine bevorstehende Rückkehr in ihre Heimat im Rahmen des Vollzugs der Wegweisung angemessen Rechnung getragen werden. Abschliessend ist auf die Möglichkeit, dem SEM bei Bedarf einen Antrag auf Gewährung medizinischer Rückkehrhilfe zu stellen (vgl. Art. 93 Abs. 1 Bst. d AsylG), hinzuweisen.</w:t>
      </w:r>
    </w:p>
    <w:p>
      <w:r>
        <w:rPr>
          <w:b/>
        </w:rPr>
        <w:t>E. 8.3.5</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Indessen wurde mit Instruktionsverfügung vom 4. Dezember 2018 das Gesuch um Gewährung der unentgeltlichen Prozessführung gutgeheissen, womit auf die Erhebung von Verfahrenskosten zu verzichten ist.</w:t>
      </w:r>
    </w:p>
    <w:p>
      <w:r>
        <w:rPr>
          <w:b/>
        </w:rPr>
        <w:t>E. 10.2</w:t>
      </w:r>
    </w:p>
    <w:p>
      <w:r>
        <w:t>Mit derselben Verfügung wurde ausserdem das Gesuch um amtliche Verbeiständung gutgeheissen (aArt. 110a Abs. 1 AsylG) und der Beschwerdeführerin ihre Rechtsvertreterin als Rechtsbeiständin bestellt. Demnach ist dieser ein amtliches Honorar für ihre notwendigen Aufwendungen im Beschwerdeverfahren auszurichten. Mit Eingabe vom 28. März 2019 wurde eine Kostennote ins Recht gelegt, wonach sich die Bemühungen der Rechtsvertretung auf 14 Stunden bei einem Stundenansatz von Fr. 220.- bei amtlicher Vertretung belaufen. Zusätzlich werden Auslagen in der Höhe von Fr. 103.50 aufgeführt. Der Gesamtbetrag beläuft sich auf Fr. 3183.50 (ohne Mehrwertsteuerzuschlag). Dieser Betrag ist indes - so hinsichtlich der überaus einlässlichen Ausführungen zur Prozessgeschichte und der - von der Vorinstanz lediglich in zweiter Linie bezweifelten Glaubhaftigkeit der Aussagen zum Reiseweg und dem Aufenthalt in der Schweiz - nicht vollumfänglich angemessen. Ausserdem ist der Aufwand für die Erstellung und Einreichung der Honorarnote im Stundenansatz bereits enthalten, weil es sich um eine Sekretariatsarbeit handelt. Unter Berücksichtigung der massgeblichen Bemessungsfaktoren (Art. 9 ff. des Reglements vom 21. Februar 2008 über die Kosten und Entschädigungen vor dem Bundesverwaltungsgericht [VGKE, SR 173.320.2]) und der Praxis in Vergleichsfällen sind die zu entschädigenden Stunden auf elf (11) zu reduzieren. Damit ist das Honorar aufgerundet auf insgesamt Fr. 2718.- (inkl.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