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D-63/2010 vom 27. September 2011</w:t>
      </w:r>
    </w:p>
    <w:p>
      <w:r>
        <w:t>Bundesverwaltungsgericht, 2011-09-27, DE</w:t>
      </w:r>
    </w:p>
    <w:p>
      <w:r>
        <w:rPr>
          <w:b/>
        </w:rPr>
        <w:t xml:space="preserve">Quelle: </w:t>
      </w:r>
      <w:r>
        <w:t>https://mcp.opencaselaw.ch/entscheid/bvger_D-63_2010</w:t>
      </w:r>
    </w:p>
    <w:p>
      <w:r>
        <w:t>FR: TAF D-63/2010 du 27 septembre 2011</w:t>
      </w:r>
    </w:p>
    <w:p>
      <w:r>
        <w:t>IT: TAF D-63/2010 del 27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Beschwerdeführenden - mit Ausnahme des Kindes Duha, welches in das Beschwerdeverfahren einzubeziehen ist -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Für die Beurteilung der Flüchtlingseigenschaft ist nicht nur der Zeitpunkt der Ausreise aus dem Heimatstaat, sondern auch die Situation zum Zeitpunkt des Asylentscheids massgebend (vgl. BVGE 2008/4 E. 5.4 S. 38; Entscheidungen und Mitteilungen der Schweizerischen Asylrekurskommission [EMARK] 2005 Nr. 18). Wer sich darauf beruft, dass durch sein Verhalten nach der Ausreise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4.1</w:t>
      </w:r>
    </w:p>
    <w:p>
      <w:r>
        <w:t>Die Beschwerdeführenden halten an der von ihnen geltend gemachten Herkunft aus Darfur fest. In diesem Zusammenhang wird in der Beschwerde ausgeführt, es sei dem Beschwerdeführer gelungen, aus J._______ in Süddarfur eine Wohnsitzbestätigung und einen Heimatschein erhältlich zu machen. Die beiden Originaldokumente würden sich auf dem Weg in die Schweiz befinden. Damit könnte auch die Wahrheit ihrer diesbezüglichen Vorbringen dargetan werden. In der Folge reichten sie am 18. Februar 2010 eine Wohnsitz- und Aufenthaltsbestätigung im Original ein, welche den Verwandten des Beschwerdeführers vor Ort ausgestellt worden sei. Da sich dieser bei den Heimatbehörden nie abgemeldet habe, sei er nach wie vor als Bürger der Einheitsverwaltung J._______, (...), eingetragen. Zusammen mit den übrigen Beweisen sei nunmehr nachgewiesen, dass die Beschwerdeführenden aus Darfur stammten und der dortigen Ethnie der Fur angehörten.</w:t>
      </w:r>
    </w:p>
    <w:p>
      <w:r>
        <w:rPr>
          <w:b/>
        </w:rPr>
        <w:t>E. 4.2</w:t>
      </w:r>
    </w:p>
    <w:p>
      <w:r>
        <w:t>Diese Ausführungen und Dokumente vermögen die von den Beschwerdeführenden geltend gemachte Ethnie und Herkunft aus Darfur nicht glaubhaft darzutun. Dazu ist vorweg auf die Ausführungen in der Vernehmlassung des BFM (vgl. Sachverhalt Bst. H) zu verweisen, welche sich nach einer Überprüfung der Akten als zutreffend erweisen. Daran vermögen auch die Einwendungen in der Stellungnahme der Beschwerdeführenden vom 26. März 2010 nichts zu ändern. So sind für die Einschätzung des Beweiswerts der eingereichten Dokumente auch die diesbezüglichen Aussagen der Beschwerdeführenden heranzuziehen. Selbst unter der Annahme eines nicht unterbruchslosen, jedoch langjährigen Aufenthalts der Beschwerdeführenden in Darfur sind diese nicht in der Lage, plausible Gründe dafür anzugeben, weshalb sie einzig (...) und keine der in ihrer angeblichen Herkunftsregion heimischen Sprache sprechen. Weiter wendet der Beschwerdeführer insbesondere ein, er sei über seine Verwandten, welchen die im Beschwerdeverfahren eingereichten Originaldokumente vor Ort ausgestellt worden seien, in den Besitz dieser Beweismittel gekommen. Der Umstand, dass diesbezüglich kein Zustellcouvert eingereicht wurde, verstärkt jedoch die Zweifel an deren Beweiskraft. Dasselbe gilt für das am (...) in K._______ ausgestellte (...), welches sowohl die geltend gemachte Herkunft des Beschwerdeführers als auch dessen Vorfluchtgründe bestätigt. Von diesem Dokument ist nichts darüber bekannt, wie es in den Besitz der Beschwerdeführenden gelangt ist. Unter den gegebenen Umständen ist es als Gefälligkeitsschreiben zu qualifizieren.</w:t>
      </w:r>
    </w:p>
    <w:p>
      <w:r>
        <w:rPr>
          <w:b/>
        </w:rPr>
        <w:t>E. 4.3</w:t>
      </w:r>
    </w:p>
    <w:p>
      <w:r>
        <w:t>Nach dem Gesagten gelangt das Bundesverwaltungsgericht in Würdigung aller Umstände in Übereinstimmung mit der Vorinstanz zum Schluss, dass es den Beschwerdeführenden nicht gelungen ist, die von ihnen behauptete ethnische Zugehörigkeit und ihre Herkunft aus Darfur sowie ihren letzten Aufenthaltsort in der dortigen Krisenregion glaubhaft dazutun. Unter diesen Umständen ist den darauf aufbauenden Verfolgungsvorbringen die Grundlage entzogen. Mithin ist eine asylrelevante Verfolgung der Beschwerdeführenden zum Zeitpunkt der Ausreise aus dem Heimatstaat zu verneinen.</w:t>
      </w:r>
    </w:p>
    <w:p>
      <w:r>
        <w:rPr>
          <w:b/>
        </w:rPr>
        <w:t>E. 5.1</w:t>
      </w:r>
    </w:p>
    <w:p>
      <w:r>
        <w:t>Es bleibt zu prüfen, ob die Beschwerdeführenden durch die Ausreise aus dem Heimatstaat - mithin wegen subjektiver Nachfluchtgründe - bei einer Rückkehr befürchten müssten, ernsthaften Nachteilen im Sinne von Art. 3 AsylG ausgesetzt zu werden.</w:t>
      </w:r>
    </w:p>
    <w:p>
      <w:r>
        <w:rPr>
          <w:b/>
        </w:rPr>
        <w:t>E. 5.2</w:t>
      </w:r>
    </w:p>
    <w:p>
      <w:r>
        <w:t>Als subjektive Nachfluchtgründe gelten insbesondere illegales Verlassen des Heimatlandes (sogenannte Republikflucht), Einreichung eines Asylgesuchs im Ausland oder eine aus der Sicht der heimatstaatlichen Behörden unerwünschte exilpolitische Betätigung, wenn diese Komponenten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5.3</w:t>
      </w:r>
    </w:p>
    <w:p>
      <w:r>
        <w:t>Eine Überprüfung der Akten ergibt, dass sich die vorinstanzlichen Erwägungen auch in Bezug auf die Verneinung subjektiver Nachfluchtgründe als zutreffend erweisen (vgl. Sachverhalt Bst. D). Zwar wird in der Beschwerde erneut darauf hingewiesen, dass der Beschwerdeführer Gründungs- und Exekutivmitglied des SLM/U in der Schweiz sei und dabei auch als Verantwortlicher für die Region I._______ die Mitglieder und Sympathisanten über anstehende Demonstrationen und Aktionen informiere; zudem fungiere er dank seiner (...) Bildung und seines umfassenden Allgemeinwissens als Berater des (...), H.______. So habe er anlässlich der Anhörung vom 1. Dezember 2009 explizit unter anderem darauf hingewiesen, dass der Bürochef manchmal von ihm verlange, über ein Thema zu schreiben; dann verfasse er einen entsprechenden Artikel und gebe ihn ab. Daraufhin würde dieser unter dem Namen des Büros, nicht unter demjenigen des Beschwerdeführers publiziert.</w:t>
      </w:r>
    </w:p>
    <w:p>
      <w:r>
        <w:rPr>
          <w:b/>
        </w:rPr>
        <w:t>E. 5.4</w:t>
      </w:r>
    </w:p>
    <w:p>
      <w:r>
        <w:t>Bei diesen Ausführungen in der Beschwerde handelt es sich im Wesentlichen um eine zusammenfassende Wiederholung der Aussagen des Beschwerdeführers anlässlich der Anhörung vom 1. Dezember 2009. Indes gelangt das Bundesverwaltungsgericht nach Durchsicht des entsprechenden Protokolls und in Würdigung der diesbezüglichen Beweismittel in Übereinstimmung mit der Vorinstanz zum Schluss, dass der Beschwerdeführer nicht das Bild eines engagierten hochprofilierten Exilpolitikers für Darfur zu vermitteln vermag, welcher seitens der sudanesischen Regierung als ernsthafte Bedrohung identifiziert oder wahrgenommen wird. Dies zeigt sich unter anderem auch daran, dass die angeblich von ihm verfassten Artikel nicht unter seinem Namen publiziert werden. Vor diesem Hintergrund besteht kein hinreichender Anlass zur Annahme, dass der Beschwerdeführer wegen seiner exilpolitischen Aktivitäten bei einer Rück­kehr in den Sudan mit ernsthaften Nachteilen von Seiten des sudanesischen Regimes zu rechnen hätte. Bei dieser Sachlage ist die geltend gemachte Furcht vor künftiger Verfolgung als unbegründet zu würdigen, weshalb das Vorliegen von subjektiven Nachfluchtgründen im Sinne von Art. 54 AsylG zu verneinen ist.</w:t>
      </w:r>
    </w:p>
    <w:p>
      <w:r>
        <w:rPr>
          <w:b/>
        </w:rPr>
        <w:t>E. 6</w:t>
      </w:r>
    </w:p>
    <w:p>
      <w:r>
        <w:t>In Würdigung der gesamten Umstände und Vorbringen der Beschwerdeführenden ist zusammenfassend festzustellen, dass diese keine Gründe nach Art. 3 AsylG nachweisen oder glaubhaft machen können und damit die Voraussetzungen für die Zuerkennung der Flücht­lingseigenschaft nicht erfüllt sind. Es erübrigt sich, auf die weiteren Ausführungen in der Beschwerde und die eingereichten Beweismittel im Einzelnen einzugehen, da diese an der vorgenommenen Würdigung des Sachverhalts nicht zu ändern vermögen. Die Vorinstanz hat dem­nach die (zweiten) Asylgesuche der Beschwerdeführenden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fremdenpolizeili­che Aufenthaltsbewilligung noch einen Anspruch auf Erteilung einer solchen. Die Wegweisung wurde demnach zu Recht angeordnet (Art. 44 Abs. 1 AsylG;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ihren Heimatstaat ist dem­nach un­ter dem Aspekt von Art. 5 AsylG rechtmässig.</w:t>
      </w:r>
    </w:p>
    <w:p>
      <w:r>
        <w:rPr>
          <w:b/>
        </w:rPr>
        <w:t>E. 8.2.3</w:t>
      </w:r>
    </w:p>
    <w:p>
      <w:r>
        <w:t>Sodann ergeben sich weder aus den Aussagen der Be­schwerdeführenden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ihrem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Den Beschwerdeführenden ist es nicht gelungen, ihre Herkunft aus der Region Darfur glaubhaft darzutun. Den Erkenntnissen des Bundesverwaltungsgerichts zufolge besteht im Sudan ausserhalb der erwähnten Region keine Situation allgemeiner Gewalt. Es sind deshalb derzeit keine konkreten Anhaltspunkte dafür ersichtlich, dass die Be­schwerdeführenden bei einer Rückführung in den Sudan einer kon­kreten Gefährdung im Sinne von Art. 83 Abs. 4 AuG ausgesetzt wären. Dementsprechend ist der Wegweisungsvollzug dorthin als generell zu­mutbar zu qualifizieren.</w:t>
      </w:r>
    </w:p>
    <w:p>
      <w:r>
        <w:rPr>
          <w:b/>
        </w:rPr>
        <w:t>E. 8.3.2</w:t>
      </w:r>
    </w:p>
    <w:p>
      <w:r>
        <w:t>Ferner sind auch keine individuellen, in der Person der Be­schwerdeführenden gelegenen Gründe ersichtlich, die den Wegwei­sungsvollzug als unzumutbar erscheinen lassen würden. Wie bereits im Urteil des Bundesverwaltungsgerichts vom (...) ausge­führt wurde, hat der Beschwerdeführer seine Studien in der Region Khartoum absolviert, wo auch sein Geburtsschein ausgestellt wurde, so dass darauf zu schliessen ist, dass er aus dieser Gegend stammt; auch die Beschwerdeführerin hat sich bereits in dieser Stadt aufge­halten. Die Ausführungen in der Beschwerde sind nicht geeignet, an dieser Einschätzung etwas zu ändern. Aufgrund dieser Umstände ist davon auszugehen, dass die Beschwerdeführenden dort über ein soziales Beziehungsnetz verfügen. Der Beschwerdeführer besitzt ei­nen (...) Abschluss und war in seinem Heimatstaat als (...) erwerbstätig. Nebst seiner (...) Muttersprache verfügt er auch über gute (...). Demnach liegen keine konkreten An­haltspunkte dafür vor, dass die Beschwerdeführenden bei einer Rück­kehr in ihren Heimatsstaat aus individuellen Gründen wirtschaftlicher, sozialer oder gesundheitlicher Natur in eine existenzbedrohende Situa­tion geraten würden. Im Falle von unbegleiteten Minderjährigen ist im Rahmen der Prüfung der Zumutbarkeit des Wegweisungsvollzugs zudem das Kindeswohl mitzuberücksichtigen (vgl. EMARK 1998 Nr. 13 E. 5e.bb; Übereinkommen vom 20. November 1989 über die Rechte des Kindes [KRK, SR 0.107]). Zwei der minderjährigen Kinder der Be­schwerdeführenden sind nicht unbegleitet in die Schweiz gelangt, sondern zusammen mit ihren Eltern eingereist, während die beiden jüngsten - nunmehr (...) beziehungsweise (...) Jahre alt gewordenen - Kinder hier geboren sind. Obwohl die beiden älteren Kinder mitt­lerweile (...) beziehungsweise (...) Jahre alt sind, ist davon auszugehen, dass sie sich bei einer gemeinsamen Rückkehr mit den Eltern zu­sammen mit den beiden jüngeren Geschwistern im Schosse der Fa­milie im Heimatstaat werden (re)integrieren können, zumal aufgrund der Aktenlage (vgl. hierzu auch nachstehend E. 8.4. am Schluss sowie E. 7.3. und insbesondere 7.4. des Urteils des Bundesverwal­tungsgerichts vom (...) nicht auf eine aussergewöhnliche Verwurzelung so­wohl der Kinder als auch der Eltern in der Schweiz geschlossen wer­den kann.</w:t>
      </w:r>
    </w:p>
    <w:p>
      <w:r>
        <w:rPr>
          <w:b/>
        </w:rPr>
        <w:t>E. 8.3.3</w:t>
      </w:r>
    </w:p>
    <w:p>
      <w:r>
        <w:t>Nach dem Gesagten erweist sich der Vollzug der Wegweisung in Würdigung der gesamten Umstände auch als zumutbar.</w:t>
      </w:r>
    </w:p>
    <w:p>
      <w:r>
        <w:rPr>
          <w:b/>
        </w:rPr>
        <w:t>E. 8.4</w:t>
      </w:r>
    </w:p>
    <w:p>
      <w:r>
        <w:t>Die bisherigen Bestimmungen betreffend vorläufige Aufnahme in­folge einer schwerwiegenden persönlichen Notlage (Art. 14a Abs. 4bis ANAG [BS 1121]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In casu halten sich die Beschwerdeführenden - mit Ausnahme des letztgeborenen Kindes - zwar bereits seit mehr als fünf Jahren in der Schweiz auf, womit die zeitlichen Anforderungen für die Anwen­dung von Art. 14 Abs. 2 AsylG an sich gegeben wären. Indes ist ge­mäss der Aktenlage seitens des Kantons bisher kein Verfahren um Erteilung einer ausländerrechtlichen Aufenthaltsbewilligung eingeleitet worden beziehungsweise müssten die Beschwerdeführenden diesbe­züglich selbst bei der zuständigen Behörde vorstellig werden.</w:t>
      </w:r>
    </w:p>
    <w:p>
      <w:r>
        <w:rPr>
          <w:b/>
        </w:rPr>
        <w:t>E. 8.5</w:t>
      </w:r>
    </w:p>
    <w:p>
      <w:r>
        <w:t>Schliesslich obliegt es den Beschwerdeführenden, sich bei der zu­ständigen Vertretung ihres Heimatstaates die für eine Rückkehr not­wen­di­gen Reisedokumente zu beschaffen (Art. 8 Abs. 4 AsylG; BVGE 2008/34 E. 12 S. 513 ff.), weshalb der Vollzug der Wegweisung auch als möglich zu bezeichnen ist (Art. 83 Abs. 2 AuG).</w:t>
      </w:r>
    </w:p>
    <w:p>
      <w:r>
        <w:rPr>
          <w:b/>
        </w:rPr>
        <w:t>E. 8.6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auf Fr. 600.- fest­zu­setzen (vgl. Art. 1 - 3 des Reglements vom 21. Februar 2008 über die Kos­ten und Ent­schädigungen vor dem Bundesverwaltungsge­richt [VGKE, SR 173.320.2]) und den Beschwerdeführenden aufzuerlegen (Art. 63 Abs. 1 und 5 VwVG). Sie sind mit dem am 23. Januar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