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D-6395/2009 vom 16. Oktober 2009</w:t>
      </w:r>
    </w:p>
    <w:p>
      <w:r>
        <w:t>Bundesverwaltungsgericht, 2009-10-16, DE</w:t>
      </w:r>
    </w:p>
    <w:p>
      <w:r>
        <w:rPr>
          <w:b/>
        </w:rPr>
        <w:t xml:space="preserve">Quelle: </w:t>
      </w:r>
      <w:r>
        <w:t>https://mcp.opencaselaw.ch/entscheid/bvger_D-6395_2009</w:t>
      </w:r>
    </w:p>
    <w:p>
      <w:r>
        <w:t>FR: TAF D-6395/2009 du 16 octobre 2009</w:t>
      </w:r>
    </w:p>
    <w:p>
      <w:r>
        <w:t>IT: TAF D-6395/2009 del 16 ottobre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form- und fristgerecht eingereicht. Der Beschwerdeführer ist durch die angefochtene Verfügung besonders berührt und hat ein schutzwürdiges Interesse an deren Aufhebung beziehungsweise Änderung. Der Beschwerdeführer ist daher zur Einreichung der Beschwerde legitimiert (Art. 6 AsylG i.V.m. Art. 48 Abs. 1 sowie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hat in der angefochtenen Verfügung vom 10. September 2009 unter Angabe der jeweiligen Fundstellen im Befragungs- (A1) und/oder den beiden Anhörungsprotokollen (A11 beziehungsweise A29) ausführlich dargelegt, dass die Schutzwilligkeit und -fähigkeit der nordirakischen Behörden vorhanden ist und deshalb die geltend gemachte Verfolgung des Beschwerdeführers durch die Familie seiner Geliebten und durch deren Ehemann beziehungsweise dessen Familie keine Asylrelevanz entfaltet. Die Vorbringen in der Rechtsmitteleingabe vom 11. Oktober 2009 sind insgesamt nicht geeignet, eine Änderung der vorinstanzlichen Verfügung zu bewirken. Der Argumentation des BFM werden keine stichhaltigen und substanziierten Gründe entgegengesetzt. Eine diesbezügliche Auseinandersetzung unterbleibt zwar nicht grundsätzlich. Die Ausführungen des BFM vermögen jedoch die substanziiert vorgebrachten und einwandfrei nachvollziehbaren Erwägungen des BFM nicht umzustossen. Für das Bundesverwaltungsgericht besteht nach Überprüfung der Akten keine Veranlassung, die Erwägungen des BFM zu beanstanden, zumal sie sich mit der Lagebeurteilung des Gerichts decken (vgl. BVGE 2008/4). Um Wiederholungen zu vermeiden, kann daher auf die diesbezüglich zutreffenden Ausführungen in der angefochtenen Verfügung verwiesen werden (vgl. Art. 4 VwVG i.V.m. Art. 6 AsylG und Art. 109 Abs. 3 BGG). Nach dem Gesagten erfüllt der Beschwerdeführer die Flüchtlingseigenschaft gemäss Art. 3 AsylG nicht.</w:t>
      </w:r>
    </w:p>
    <w:p>
      <w:r>
        <w:rPr>
          <w:b/>
        </w:rPr>
        <w:t>E. 5.2</w:t>
      </w:r>
    </w:p>
    <w:p>
      <w:r>
        <w:t>Überdies sind, wie bereits von der Vorinstanz mit einem Vorbehalt ausgeführt (vgl. A31, S. 4), Zweifel an der Glaubhaftigkeit der Vorbringen des Beschwerdeführers anzubringen. So sind seine Angaben betreffend den illegalen Aufenthalt in D._______, den Zeitpunkt der Ausreise aus dem (...), den weiteren Aufenthalt in (...) und der Einreise in die Schweiz widersprüchlich ausgefallen (vgl. A24; A27; A29, F 21 f.). Ebenso spricht gegen die Glaubhaftigkeit seiner Asylvorbringen, dass er nach einer über zweijährigen intimen Beziehung zu einer verheirateten Frau nicht einmal rudimentäre Angaben zu dieser Person hat machen können (vgl. A11, F 12; A29, F 56 f. und F 78-84). Die Frage nach der Glaubhaftigkeit der Vorbringen kann indes nach dem oben Gesagten offen gelassen werden.</w:t>
      </w:r>
    </w:p>
    <w:p>
      <w:r>
        <w:rPr>
          <w:b/>
        </w:rPr>
        <w:t>E. 5.3</w:t>
      </w:r>
    </w:p>
    <w:p>
      <w:r>
        <w:t>Aufgrund der vorstehenden Erwägungen erübrigt es sich, auf die weiteren Ausführungen in der Eingabe des Beschwerdeführers im Einzelnen einzugehen, da sie am Ergebnis der vorgenommenen Würdigung nichts zu ändern vermögen. Das Bundesamt hat das Asylgesuch des Beschwerdeführers demnach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Saadi gegen Italien, Urteil vom 28. Februar 2008, Beschwerde Nr. 37201/06, §§ 124-127).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7.5</w:t>
      </w:r>
    </w:p>
    <w:p>
      <w:r>
        <w:t>Das Bundesverwaltungsgericht hat sich im Grundsatzurteil BVGE 2008/5 vom 14. März 2008 ausführlich mit der Frage der Zumutbarkeit des Wegweisungsvollzugs in den kurdisch verwalteten Nordirak befasst. Es gelangte zum Schluss, dass in den drei kurdischen Provinzen Dohuk, Erbil und Suleimaniya keine Situation allgemeiner Gewalt herrscht und die dortige politische Lage nicht dermassen angespannt ist, als dass eine Rückführung dorthin als generell unzumutbar betrachtet werden müsste. Zudem ist die Region mit Direktflügen aus Europa und aus den Nachbarstaaten erreichbar. Damit entfällt das Element der unzumutbaren Rückreise via Bagdad und anschliessend auf dem Landweg durch den von Gewalt heimgesuchten Zentralirak.</w:t>
      </w:r>
    </w:p>
    <w:p>
      <w:r>
        <w:rPr>
          <w:b/>
        </w:rPr>
        <w:t>E. 7.5.1</w:t>
      </w:r>
    </w:p>
    <w:p>
      <w:r>
        <w:t>Zusammenfassend wurde im erwähnten Entscheid festgehalten, dass die Anordnung des Wegweisungsvollzugs in der Regel für alleinstehende, gesunde und junge kurdische Männer, die ursprünglich aus einer der drei Provinzen stammen oder längere Zeit dort gelebt haben und dort nach wie vor über ein soziales Netz oder Parteibeziehungen verfügen, zumutbar ist (vgl. a.a.O. E. 7.5 und insbesondere 7.5.8).</w:t>
      </w:r>
    </w:p>
    <w:p>
      <w:r>
        <w:rPr>
          <w:b/>
        </w:rPr>
        <w:t>E. 7.5.2</w:t>
      </w:r>
    </w:p>
    <w:p>
      <w:r>
        <w:t>Der Beschwerdeführer, von dem keine gesundheitlichen Probleme aktenkundig sind, hat während rund 16 Jahren (1988 bis Juli 2004) in der Provinz C._______ gelebt und zuletzt als Wächter gearbeitet. Er ist demnach mit C._______ vertraut und seine Muttersprache ist Sorani (vgl. A1, S. 1 f. und S. 6). Bei einem solch langen Aufenthalt ist zudem davon auszugehen, dass er in C._______ nach wie vor über ein tragfähiges soziales Beziehungsnetz verfügt. Angesichts des jungen Alters des Beschwerdeführers und seiner beruflichen Erfahrungen im Irak beziehungsweise in C._______ ist davon auszugehen, dass in seiner Heimat eine Reintegration in den Arbeitsmarkt möglich sein wird. Zudem sind keine weiteren persönlichen Gründe ersichtlich, aufgrund derer unter Umständen geschlossen werden könnte, der Beschwerdeführer gerate im Falle der Rückkehr in eine existenzbedrohende Situation, weshalb der Vollzug der Wegweisung - in Übereinstimmung mit der Vorinstanz - auch diesbezüglich als zumutbar zu bezeichnen ist.</w:t>
      </w:r>
    </w:p>
    <w:p>
      <w:r>
        <w:rPr>
          <w:b/>
        </w:rPr>
        <w:t>E. 7.6</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10.1</w:t>
      </w:r>
    </w:p>
    <w:p>
      <w:r>
        <w:t>Das Gesuch um Gewährung der unentgeltlichen Rechtspflege (Art. 65 Abs. 1 VwVG) ist abzuweisen, da die Beschwerde aufgrund vorstehender Erwägungen als aussichtslos erscheint. Das Gesuch um Verzicht auf die Erhebung eines Kostenvorschusses ist angesichts des Entscheides in der Hauptsache gegenstandslos geworden.</w:t>
      </w:r>
    </w:p>
    <w:p>
      <w:r>
        <w:rPr>
          <w:b/>
        </w:rPr>
        <w:t>E. 10.2</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