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D-6387/2014 vom 15. Dezember 2014</w:t>
      </w:r>
    </w:p>
    <w:p>
      <w:r>
        <w:t>Bundesverwaltungsgericht, 2014-12-15, DE</w:t>
      </w:r>
    </w:p>
    <w:p>
      <w:r>
        <w:rPr>
          <w:b/>
        </w:rPr>
        <w:t xml:space="preserve">Quelle: </w:t>
      </w:r>
      <w:r>
        <w:t>https://mcp.opencaselaw.ch/entscheid/bvger_D-6387_2014</w:t>
      </w:r>
    </w:p>
    <w:p>
      <w:r>
        <w:t>FR: TAF D-6387/2014 du 15 décembre 2014</w:t>
      </w:r>
    </w:p>
    <w:p>
      <w:r>
        <w:t>IT: TAF D-6387/2014 del 15 dicembre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w:t>
      </w:r>
    </w:p>
    <w:p>
      <w:r>
        <w:rPr>
          <w:b/>
        </w:rPr>
        <w:t>E. 1.3</w:t>
      </w:r>
    </w:p>
    <w:p>
      <w:r>
        <w:t>Bei der vorliegenden Beschwerde handelt es sich um eine sogenannte "Laienbeschwerde", an die keine hohen formellen Anforderungen zu stellen sind. Auf die frist- und insoweit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3.2</w:t>
      </w:r>
    </w:p>
    <w:p>
      <w:r>
        <w:t>Die Behandlung der vorliegenden Visagesuche für die Schweiz fallen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3.3</w:t>
      </w:r>
    </w:p>
    <w:p>
      <w:r>
        <w:t>Ein Drittstaatangehöriger hat, sofern er über keinen gültigen Aufenthaltstitel verfügt, zur Einreise in den Schengenraum ein gültiges Visum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 Bei der Prüfung eines Antrags auf ein sogenannt "einheitliches Visum" ist nach Art. 21 Abs. 1 Visakodex unter anderem festzuhalten, ob der Antragssteller die Einreisevoraussetzungen nach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lit. d Visakodex; Art. 5 Abs. 2 AuG).</w:t>
      </w:r>
    </w:p>
    <w:p>
      <w:r>
        <w:rPr>
          <w:b/>
        </w:rPr>
        <w:t>E. 3.4</w:t>
      </w:r>
    </w:p>
    <w:p>
      <w:r>
        <w:t>Sind die Voraussetzungen für die Ausstellung eines einheitlichen Visums nicht erfüllt, kann in Ausnahmefällen ein Visum mit beschränkter Gültigkeit erteilt werden. Ein Mitgliedstaat ist gemäss Art. 5 Abs. 4 Bst. c Satz 1 SGK berechtigt, von dieser Möglichkeit unter anderem aus humanitären Gründen Gebrauch zu machen (vgl. Art. 25 Abs. 1 Bst. a Visakodex; Art. 3 Abs. 2 AuG; Art. 2 Abs. 4 VEV).</w:t>
      </w:r>
    </w:p>
    <w:p>
      <w:r>
        <w:rPr>
          <w:b/>
        </w:rPr>
        <w:t>E. 4</w:t>
      </w:r>
    </w:p>
    <w:p>
      <w:r>
        <w:t>Die Gesuchstellenden mit syrischer Staatsangehörigkeit sind zur Einreise in den Schengenraum visumspflichtig (Art. 5 Abs. 1 Bst. b SGK i.V.m. Art. 1 Abs. 1 und 2 und Anhänge I und II Verordnung (EG) Nr. 539/2001). Dass sie die Voraussetzungen zur Erteilung eines solches Visums nicht (vollständig) erfüllen, wird sodann auch nicht bestritten. In der Beschwerdeschrift spricht der Beschwerdeführer selbst die Problematik an, dass für syrische Flüchtlinge nach Ablauf der Visumsfrist eine Rückkehr aufgrund der politischen Lage in Syrien generell nicht angenommen werden könne. Aufgrund der gesamten Umstände kann denn auch - entsprechend der Ausführungen des BFM (vgl. Bst. E. vorstehend) - nicht geschlossen werden, dass die Gesuchstellenden Gewähr für eine fristgerechte Rückkehr und Ausreise aus der Schweiz und dem Schengenraum bieten. Eine schriftliche Bestätigung der Gesuchstellenden, des Gastgebers oder von Drittpersonen genügt in der Regel nicht, um Gegenteiliges garantieren zu können. Die Erteilung eines Visums mit Gültigkeit für den gesamten Schengenraum fällt daher nicht in Betracht.</w:t>
      </w:r>
    </w:p>
    <w:p>
      <w:r>
        <w:rPr>
          <w:b/>
        </w:rPr>
        <w:t>E. 5.1</w:t>
      </w:r>
    </w:p>
    <w:p>
      <w:r>
        <w:t>Im Folgenden gilt es zu prüfen, ob das BFM zu Recht die Erteilung eines Einreisevisums in die Schweiz aus humanitären Gründen abgelehnt hat. Gemäss Art. 2 Abs. 4 VEV können das eidgenössische Departement für auswärtige Angelegenheiten (EDA) und das BFM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w:t>
      </w:r>
    </w:p>
    <w:p>
      <w:r>
        <w:rPr>
          <w:b/>
        </w:rPr>
        <w:t>E. 5.2</w:t>
      </w:r>
    </w:p>
    <w:p>
      <w:r>
        <w:t>Nach der geltenden Praxis - welche nach Aufhebung der Weisung vom 4. September 2013 fortgesetzt wird - setzt die Erteilung eines Einreisevisums für die Schweiz aus humanitären Gründen voraus, dass aufgrund des konkreten Einzelfalles offensichtlich davon ausgegangen werden muss, dass die betroffene Person im Heimat- oder Herkunftsstaat unmittelbar, ernsthaft und konkret an Leib und Leben gefährdet ist. Sie muss sich in einer besonderen Notsituation befinden, die ein behördliches Eingreifen zwingend erforderlich macht und es rechtfertigt - ihr im Gegensatz zu anderen Personen - die Erteilung eines Einreisevisums zu erteilen.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noch restriktiver als bei den Auslandgesuchen - mit der dringlichen Änderung des Asylgesetzes vom 28. September 2012 können solche nicht mehr eingereicht werden (AS 2012 5359) -, bei denen Einreisebewilligungen nur sehr zurückhaltend erteilt wurden beziehungsweise werden (vgl. Botschaft zur Änderung des Asylgesetzes vom 26. Mai 2010, BBl 2010 4455, insbesondere 4467 f., 4471 f. und 4490 f.; Urteil des Bundesverwaltungsgerichts E-4618/2014 vom 30. Oktober 2014 E. 4.3, m.w.H.).</w:t>
      </w:r>
    </w:p>
    <w:p>
      <w:r>
        <w:rPr>
          <w:b/>
        </w:rPr>
        <w:t>E. 6.1</w:t>
      </w:r>
    </w:p>
    <w:p>
      <w:r>
        <w:t>Das Gericht gelangt nach Prüfung der Akten - wie bereits das BFM - zum Schluss, dass vorliegend die Voraussetzungen für die Erteilung eines humanitären Visums nicht erfüllt sind. Es kann vollumfänglich auf die entsprechenden Ausführungen in der angefochtenen Verfügung verwiesen werden, die sich als zutreffend erweisen (vgl. Bst. E. vorstehend). Daran vermögen auch die auf Beschwerdeebene eingebrachten Vorbringen nichts zu ändern, die Gesuchstellenden seien traumatisiert und eines der Kinder - (...) beziehungsweise (...) (je nach Angabe), die Schwester beziehungsweise die Nichte des Beschwerdeführers (je nach Angabe) - leide an einer Zerebralparese (vgl. Kopie eines Arztberichts). Angesichts der Lage, in welcher sich syrische Flüchtlinge befinden, wird nicht daran gezweifelt, dass sich die Gesuchstellenden in der Türkei in einer schwierigen Situation befinden und ihre Lebensbedingungen gegebenenfalls durch die Behinderung eines Familienmitglieds zusätzlich erschwert sind. Es ist indessen nicht ersichtlich, inwiefern sie in der Türkei unmittelbar, ernsthaft und konkret an Leib und Leben gefährdet sein sollen. Ein behördliches Eingreifen erweist sich nicht als zwingend erforderlich und die Erteilung eines Einreisevisums nicht als gerechtfertigt, zumal die Grundversorgung und der Zugang zu medizinischen Basisleistungen in der Regel gewährleistet sein dürften und insbesondere Grossstädte wie beispielsweise Istanbul und Ankara über ein gut funktionierendes und zugängliches Gesundheitssystem verfügen. Immerhin ist davon auszugehen, dass die Gesuchstellenden von ihren im Ausland lebenden Familienangehörigen bei Bedarf finanzielle Unterstützung erhalten und die notwendige Fürsorge erfahren. Ferner ist darauf hinzuweisen, dass sich Betroffene auch an das UNHCR (United Nations High Commissioner for Refugees), den türkischen Roten Halbmond oder andere vor Ort tätige Hilfsorganisationen wenden können, um medizinische Hilfe oder anderweitige notwendige Versorgung zu erlangen.</w:t>
      </w:r>
    </w:p>
    <w:p>
      <w:r>
        <w:rPr>
          <w:b/>
        </w:rPr>
        <w:t>E. 6.2</w:t>
      </w:r>
    </w:p>
    <w:p>
      <w:r>
        <w:t>Beim Vorbringen in der Beschwerde, die Gesuchstellenden seien nach Syrien zurückgekehrt, handelt es sich um eine nicht hinreichend belegte Parteibehauptung (die auf Beschwerdeebene eingereichten Beweismittel können auch anderweitig beigebracht worden sein), die sich nicht mit dem Aufenthalt in der Türkei und dem weiteren Vorbringen vereinbaren lässt, nach Kriegsende freiwillig (ins Heimatland) zurückzukehren. Bei dieser Sachlage erübrigt es sich, auf weitere Beschwerdevorbringen einzugehen, da sie zu keiner anderen Einschätzung führen.</w:t>
      </w:r>
    </w:p>
    <w:p>
      <w:r>
        <w:rPr>
          <w:b/>
        </w:rPr>
        <w:t>E. 6.3</w:t>
      </w:r>
    </w:p>
    <w:p>
      <w:r>
        <w:t>Das Bundesverwaltungsgericht gelangt zum Schluss, dass das BFM zu Recht und mit zutreffender Begründung das Vorliegen der Voraussetzungen zur Erteilung von Einreisevisa verneint und die Einsprache vom 22. August 2014 abgewiesen hat.</w:t>
      </w:r>
    </w:p>
    <w:p>
      <w:r>
        <w:rPr>
          <w:b/>
        </w:rPr>
        <w:t>E. 7</w:t>
      </w:r>
    </w:p>
    <w:p>
      <w:r>
        <w:t>Aus vorstehenden Erwägungen folgt, dass die angefochtene Verfügung im Lichte von Art. 49 VwVG nicht zu beanstanden ist. Die Beschwerde ist abzuweisen.</w:t>
      </w:r>
    </w:p>
    <w:p>
      <w:r>
        <w:rPr>
          <w:b/>
        </w:rPr>
        <w:t>E. 8</w:t>
      </w:r>
    </w:p>
    <w:p>
      <w:r>
        <w:t>Bei diesem Ausgang des Verfahrens wären die Kosten grundsätzlich dem Beschwerdeführer aufzuerlegen (Art. 63 Abs. 1 und 5 VwVG). In Gutheissung des Gesuchs um unentgeltliche Rechtspflege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